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36EE" w14:textId="271C974F" w:rsidR="00260360" w:rsidRPr="00FD510A" w:rsidRDefault="00260360" w:rsidP="00260360"/>
    <w:p w14:paraId="4A93224D" w14:textId="685894AB" w:rsidR="00260360" w:rsidRDefault="00260360" w:rsidP="00260360"/>
    <w:p w14:paraId="466CB945" w14:textId="77777777" w:rsidR="00260360" w:rsidRPr="00FD510A" w:rsidRDefault="00260360" w:rsidP="00260360"/>
    <w:p w14:paraId="0997B5A6" w14:textId="3AC4700C" w:rsidR="00260360" w:rsidRDefault="00260360" w:rsidP="00260360"/>
    <w:p w14:paraId="1F500F1B" w14:textId="4944A3F0" w:rsidR="00260360" w:rsidRDefault="00260360" w:rsidP="00260360"/>
    <w:p w14:paraId="4A4721FE" w14:textId="2536E8A9" w:rsidR="00260360" w:rsidRDefault="00260360" w:rsidP="00260360"/>
    <w:p w14:paraId="0BF02FE6" w14:textId="77520D04" w:rsidR="00260360" w:rsidRDefault="00260360" w:rsidP="00260360"/>
    <w:p w14:paraId="317D6EC4" w14:textId="695209AC" w:rsidR="00260360" w:rsidRDefault="0033690F" w:rsidP="00260360">
      <w:pPr>
        <w:jc w:val="center"/>
        <w:rPr>
          <w:b/>
          <w:color w:val="003399"/>
          <w:sz w:val="40"/>
        </w:rPr>
      </w:pPr>
      <w:r w:rsidRPr="0033690F">
        <w:rPr>
          <w:noProof/>
        </w:rPr>
        <w:drawing>
          <wp:anchor distT="0" distB="0" distL="114300" distR="114300" simplePos="0" relativeHeight="251704320" behindDoc="1" locked="0" layoutInCell="1" allowOverlap="1" wp14:anchorId="1A3398DC" wp14:editId="0B4E956D">
            <wp:simplePos x="0" y="0"/>
            <wp:positionH relativeFrom="column">
              <wp:posOffset>800100</wp:posOffset>
            </wp:positionH>
            <wp:positionV relativeFrom="paragraph">
              <wp:posOffset>39370</wp:posOffset>
            </wp:positionV>
            <wp:extent cx="4229100" cy="1076325"/>
            <wp:effectExtent l="0" t="0" r="0" b="9525"/>
            <wp:wrapTight wrapText="bothSides">
              <wp:wrapPolygon edited="0">
                <wp:start x="0" y="0"/>
                <wp:lineTo x="0" y="21409"/>
                <wp:lineTo x="21503" y="21409"/>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9100" cy="1076325"/>
                    </a:xfrm>
                    <a:prstGeom prst="rect">
                      <a:avLst/>
                    </a:prstGeom>
                  </pic:spPr>
                </pic:pic>
              </a:graphicData>
            </a:graphic>
          </wp:anchor>
        </w:drawing>
      </w:r>
    </w:p>
    <w:p w14:paraId="2977C145" w14:textId="77777777" w:rsidR="00700000" w:rsidRDefault="00700000" w:rsidP="00260360">
      <w:pPr>
        <w:spacing w:line="240" w:lineRule="auto"/>
        <w:jc w:val="center"/>
        <w:rPr>
          <w:b/>
          <w:color w:val="003399"/>
          <w:sz w:val="40"/>
        </w:rPr>
      </w:pPr>
    </w:p>
    <w:p w14:paraId="723E4DE7" w14:textId="77777777" w:rsidR="00700000" w:rsidRDefault="00700000" w:rsidP="00260360">
      <w:pPr>
        <w:spacing w:line="240" w:lineRule="auto"/>
        <w:jc w:val="center"/>
        <w:rPr>
          <w:b/>
          <w:color w:val="003399"/>
          <w:sz w:val="40"/>
        </w:rPr>
      </w:pPr>
    </w:p>
    <w:p w14:paraId="3D8FB254" w14:textId="77777777" w:rsidR="002D25D9" w:rsidRDefault="002D25D9" w:rsidP="00260360">
      <w:pPr>
        <w:spacing w:line="240" w:lineRule="auto"/>
        <w:jc w:val="center"/>
        <w:rPr>
          <w:b/>
          <w:color w:val="003399"/>
          <w:sz w:val="40"/>
        </w:rPr>
      </w:pPr>
    </w:p>
    <w:p w14:paraId="5F60337D" w14:textId="77777777" w:rsidR="002D25D9" w:rsidRDefault="002D25D9" w:rsidP="00260360">
      <w:pPr>
        <w:spacing w:line="240" w:lineRule="auto"/>
        <w:jc w:val="center"/>
        <w:rPr>
          <w:b/>
          <w:color w:val="003399"/>
          <w:sz w:val="40"/>
        </w:rPr>
      </w:pPr>
    </w:p>
    <w:p w14:paraId="5219424A" w14:textId="6086423A" w:rsidR="00260360" w:rsidRDefault="00F3226C" w:rsidP="00260360">
      <w:pPr>
        <w:spacing w:line="240" w:lineRule="auto"/>
        <w:jc w:val="center"/>
        <w:rPr>
          <w:rFonts w:ascii="Arial" w:hAnsi="Arial" w:cs="Arial"/>
          <w:b/>
          <w:i/>
          <w:color w:val="365F91" w:themeColor="accent1" w:themeShade="BF"/>
          <w:sz w:val="40"/>
        </w:rPr>
      </w:pPr>
      <w:r w:rsidRPr="0033690F">
        <w:rPr>
          <w:rFonts w:ascii="Arial" w:hAnsi="Arial" w:cs="Arial"/>
          <w:b/>
          <w:i/>
          <w:color w:val="365F91" w:themeColor="accent1" w:themeShade="BF"/>
          <w:sz w:val="40"/>
        </w:rPr>
        <w:t xml:space="preserve">Tier II </w:t>
      </w:r>
      <w:r w:rsidR="00260360" w:rsidRPr="0033690F">
        <w:rPr>
          <w:rFonts w:ascii="Arial" w:hAnsi="Arial" w:cs="Arial"/>
          <w:b/>
          <w:i/>
          <w:color w:val="365F91" w:themeColor="accent1" w:themeShade="BF"/>
          <w:sz w:val="40"/>
        </w:rPr>
        <w:t>Transit Asset Management Plan</w:t>
      </w:r>
    </w:p>
    <w:p w14:paraId="19A795EC" w14:textId="4D2F32F5" w:rsidR="00F27716" w:rsidRDefault="00F27716" w:rsidP="00260360">
      <w:pPr>
        <w:spacing w:line="240" w:lineRule="auto"/>
        <w:jc w:val="center"/>
        <w:rPr>
          <w:rFonts w:ascii="Arial" w:hAnsi="Arial" w:cs="Arial"/>
          <w:i/>
          <w:color w:val="365F91" w:themeColor="accent1" w:themeShade="BF"/>
        </w:rPr>
      </w:pPr>
    </w:p>
    <w:p w14:paraId="26C2D1FF" w14:textId="7EF6D661" w:rsidR="00F27716" w:rsidRPr="0033690F" w:rsidRDefault="00F27716" w:rsidP="00260360">
      <w:pPr>
        <w:spacing w:line="240" w:lineRule="auto"/>
        <w:jc w:val="center"/>
        <w:rPr>
          <w:rFonts w:ascii="Arial" w:hAnsi="Arial" w:cs="Arial"/>
          <w:i/>
          <w:color w:val="365F91" w:themeColor="accent1" w:themeShade="BF"/>
        </w:rPr>
      </w:pPr>
      <w:r w:rsidRPr="00F27716">
        <w:rPr>
          <w:rFonts w:ascii="Arial" w:hAnsi="Arial" w:cs="Arial"/>
          <w:i/>
          <w:color w:val="365F91" w:themeColor="accent1" w:themeShade="BF"/>
          <w:sz w:val="32"/>
        </w:rPr>
        <w:t xml:space="preserve">State of Maine Group Plan for Rural Transit Providers </w:t>
      </w:r>
    </w:p>
    <w:p w14:paraId="5B2D3FDB" w14:textId="77777777" w:rsidR="00757836" w:rsidRPr="0033690F" w:rsidRDefault="00757836" w:rsidP="006452E0">
      <w:pPr>
        <w:jc w:val="center"/>
        <w:rPr>
          <w:rFonts w:ascii="Arial" w:hAnsi="Arial" w:cs="Arial"/>
          <w:i/>
          <w:color w:val="365F91" w:themeColor="accent1" w:themeShade="BF"/>
          <w:sz w:val="28"/>
        </w:rPr>
      </w:pPr>
    </w:p>
    <w:p w14:paraId="2E10F1C4" w14:textId="09E63F09" w:rsidR="00260360" w:rsidRDefault="0046569A" w:rsidP="006452E0">
      <w:pPr>
        <w:jc w:val="center"/>
        <w:rPr>
          <w:rFonts w:ascii="Arial" w:hAnsi="Arial" w:cs="Arial"/>
          <w:i/>
          <w:color w:val="365F91" w:themeColor="accent1" w:themeShade="BF"/>
          <w:sz w:val="28"/>
        </w:rPr>
      </w:pPr>
      <w:r>
        <w:rPr>
          <w:rFonts w:ascii="Arial" w:hAnsi="Arial" w:cs="Arial"/>
          <w:i/>
          <w:color w:val="365F91" w:themeColor="accent1" w:themeShade="BF"/>
          <w:sz w:val="28"/>
        </w:rPr>
        <w:t>Effective October 1, 2018</w:t>
      </w:r>
    </w:p>
    <w:p w14:paraId="610CDFC9" w14:textId="1D351CA2" w:rsidR="005E543B" w:rsidRDefault="005E543B" w:rsidP="006452E0">
      <w:pPr>
        <w:jc w:val="center"/>
        <w:rPr>
          <w:rFonts w:ascii="Arial" w:hAnsi="Arial" w:cs="Arial"/>
          <w:i/>
          <w:color w:val="365F91" w:themeColor="accent1" w:themeShade="BF"/>
          <w:sz w:val="28"/>
        </w:rPr>
      </w:pPr>
      <w:r>
        <w:rPr>
          <w:rFonts w:ascii="Arial" w:hAnsi="Arial" w:cs="Arial"/>
          <w:i/>
          <w:color w:val="365F91" w:themeColor="accent1" w:themeShade="BF"/>
          <w:sz w:val="28"/>
        </w:rPr>
        <w:t>(Revised October 1, 2022)</w:t>
      </w:r>
    </w:p>
    <w:p w14:paraId="6729081D" w14:textId="2C292251" w:rsidR="00C7355C" w:rsidRDefault="00C7355C" w:rsidP="006452E0">
      <w:pPr>
        <w:jc w:val="center"/>
        <w:rPr>
          <w:color w:val="003399"/>
          <w:sz w:val="28"/>
        </w:rPr>
      </w:pPr>
    </w:p>
    <w:p w14:paraId="411658D7" w14:textId="115AFAAA" w:rsidR="00C7355C" w:rsidRDefault="00C7355C" w:rsidP="006452E0">
      <w:pPr>
        <w:jc w:val="center"/>
        <w:rPr>
          <w:color w:val="003399"/>
          <w:sz w:val="28"/>
        </w:rPr>
      </w:pPr>
    </w:p>
    <w:p w14:paraId="6A4EF4F7" w14:textId="7218A42F" w:rsidR="00C7355C" w:rsidRDefault="00C7355C" w:rsidP="006452E0">
      <w:pPr>
        <w:jc w:val="center"/>
        <w:rPr>
          <w:color w:val="003399"/>
          <w:sz w:val="28"/>
        </w:rPr>
      </w:pPr>
    </w:p>
    <w:p w14:paraId="70B1120D" w14:textId="46A4E1D8" w:rsidR="00260360" w:rsidRDefault="00983AE9" w:rsidP="004F3A07">
      <w:pPr>
        <w:jc w:val="center"/>
      </w:pPr>
      <w:r>
        <w:rPr>
          <w:color w:val="365F91" w:themeColor="accent1" w:themeShade="BF"/>
          <w:sz w:val="28"/>
        </w:rPr>
        <w:t>Final</w:t>
      </w:r>
    </w:p>
    <w:p w14:paraId="4AD08E88" w14:textId="7E3C8BCD" w:rsidR="00260360" w:rsidRDefault="00260360" w:rsidP="00260360"/>
    <w:p w14:paraId="73CC3367" w14:textId="2C3CB7D9" w:rsidR="00260360" w:rsidRDefault="00260360" w:rsidP="00260360"/>
    <w:p w14:paraId="3065BBC7" w14:textId="056744D9" w:rsidR="00260360" w:rsidRDefault="00260360" w:rsidP="00260360"/>
    <w:p w14:paraId="65C8F6A5" w14:textId="25199A04" w:rsidR="00260360" w:rsidRDefault="00260360" w:rsidP="00260360"/>
    <w:p w14:paraId="623649A4" w14:textId="2ABB27FA" w:rsidR="00260360" w:rsidRDefault="00260360" w:rsidP="00260360"/>
    <w:p w14:paraId="68F95A17" w14:textId="5406C988" w:rsidR="00260360" w:rsidRDefault="00260360" w:rsidP="00260360"/>
    <w:p w14:paraId="236E4831" w14:textId="12E50B96" w:rsidR="00260360" w:rsidRDefault="00260360" w:rsidP="00260360"/>
    <w:p w14:paraId="77FA2E17" w14:textId="3FF5CA2E" w:rsidR="00260360" w:rsidRDefault="00260360" w:rsidP="00260360"/>
    <w:p w14:paraId="06659BD5" w14:textId="59287B8D" w:rsidR="00260360" w:rsidRDefault="00260360" w:rsidP="00260360"/>
    <w:p w14:paraId="0118AA97" w14:textId="382068E2" w:rsidR="00260360" w:rsidRDefault="00260360" w:rsidP="00260360"/>
    <w:p w14:paraId="4E647586" w14:textId="77777777" w:rsidR="00260360" w:rsidRDefault="00260360" w:rsidP="00260360"/>
    <w:p w14:paraId="5B3F8EF4" w14:textId="77777777" w:rsidR="00700000" w:rsidRDefault="00700000" w:rsidP="00260360"/>
    <w:p w14:paraId="305C002E" w14:textId="77777777" w:rsidR="00700000" w:rsidRDefault="00700000" w:rsidP="00260360"/>
    <w:p w14:paraId="547FC0DF" w14:textId="77777777" w:rsidR="00700000" w:rsidRDefault="00700000" w:rsidP="00260360"/>
    <w:p w14:paraId="441714E3" w14:textId="77777777" w:rsidR="00700000" w:rsidRDefault="00700000" w:rsidP="00260360"/>
    <w:p w14:paraId="44891531" w14:textId="77777777" w:rsidR="00700000" w:rsidRDefault="00700000" w:rsidP="00260360"/>
    <w:p w14:paraId="59FED2A3" w14:textId="77777777" w:rsidR="00700000" w:rsidRDefault="00700000" w:rsidP="00260360"/>
    <w:sdt>
      <w:sdtPr>
        <w:rPr>
          <w:rFonts w:asciiTheme="minorHAnsi" w:eastAsiaTheme="minorEastAsia" w:hAnsiTheme="minorHAnsi" w:cstheme="minorBidi"/>
          <w:b w:val="0"/>
          <w:bCs/>
          <w:caps w:val="0"/>
          <w:sz w:val="22"/>
          <w:szCs w:val="22"/>
        </w:rPr>
        <w:id w:val="-1378611827"/>
        <w:docPartObj>
          <w:docPartGallery w:val="Table of Contents"/>
          <w:docPartUnique/>
        </w:docPartObj>
      </w:sdtPr>
      <w:sdtEndPr>
        <w:rPr>
          <w:rFonts w:ascii="Cambria" w:eastAsia="Calibri" w:hAnsi="Cambria" w:cs="Times New Roman"/>
          <w:bCs w:val="0"/>
          <w:noProof/>
        </w:rPr>
      </w:sdtEndPr>
      <w:sdtContent>
        <w:p w14:paraId="713B0E1D" w14:textId="7DCDD4F5" w:rsidR="00923417" w:rsidRDefault="006452E0">
          <w:pPr>
            <w:pStyle w:val="TOCHeading"/>
          </w:pPr>
          <w:r>
            <w:t xml:space="preserve">Table of </w:t>
          </w:r>
          <w:r w:rsidR="00923417">
            <w:t>Contents</w:t>
          </w:r>
        </w:p>
        <w:p w14:paraId="5C6FC399" w14:textId="77777777" w:rsidR="00590497" w:rsidRPr="00590497" w:rsidRDefault="00590497" w:rsidP="00590497"/>
        <w:p w14:paraId="2CAD14BB" w14:textId="2F3271F5" w:rsidR="00493F14" w:rsidRDefault="00311374">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27365839" w:history="1">
            <w:r w:rsidR="00493F14" w:rsidRPr="004A4B71">
              <w:rPr>
                <w:rStyle w:val="Hyperlink"/>
                <w:noProof/>
              </w:rPr>
              <w:t>Introduction</w:t>
            </w:r>
            <w:r w:rsidR="00493F14">
              <w:rPr>
                <w:noProof/>
                <w:webHidden/>
              </w:rPr>
              <w:tab/>
            </w:r>
            <w:r w:rsidR="00493F14">
              <w:rPr>
                <w:noProof/>
                <w:webHidden/>
              </w:rPr>
              <w:fldChar w:fldCharType="begin"/>
            </w:r>
            <w:r w:rsidR="00493F14">
              <w:rPr>
                <w:noProof/>
                <w:webHidden/>
              </w:rPr>
              <w:instrText xml:space="preserve"> PAGEREF _Toc527365839 \h </w:instrText>
            </w:r>
            <w:r w:rsidR="00493F14">
              <w:rPr>
                <w:noProof/>
                <w:webHidden/>
              </w:rPr>
            </w:r>
            <w:r w:rsidR="00493F14">
              <w:rPr>
                <w:noProof/>
                <w:webHidden/>
              </w:rPr>
              <w:fldChar w:fldCharType="separate"/>
            </w:r>
            <w:r w:rsidR="007F76D3">
              <w:rPr>
                <w:noProof/>
                <w:webHidden/>
              </w:rPr>
              <w:t>4</w:t>
            </w:r>
            <w:r w:rsidR="00493F14">
              <w:rPr>
                <w:noProof/>
                <w:webHidden/>
              </w:rPr>
              <w:fldChar w:fldCharType="end"/>
            </w:r>
          </w:hyperlink>
        </w:p>
        <w:p w14:paraId="070111A5" w14:textId="3BB6AAB8" w:rsidR="00493F14" w:rsidRDefault="00122460">
          <w:pPr>
            <w:pStyle w:val="TOC2"/>
            <w:rPr>
              <w:rFonts w:asciiTheme="minorHAnsi" w:eastAsiaTheme="minorEastAsia" w:hAnsiTheme="minorHAnsi" w:cstheme="minorBidi"/>
              <w:noProof/>
            </w:rPr>
          </w:pPr>
          <w:hyperlink w:anchor="_Toc527365840" w:history="1">
            <w:r w:rsidR="00493F14" w:rsidRPr="004A4B71">
              <w:rPr>
                <w:rStyle w:val="Hyperlink"/>
                <w:noProof/>
              </w:rPr>
              <w:t>Background</w:t>
            </w:r>
            <w:r w:rsidR="00493F14">
              <w:rPr>
                <w:noProof/>
                <w:webHidden/>
              </w:rPr>
              <w:tab/>
            </w:r>
            <w:r w:rsidR="00493F14">
              <w:rPr>
                <w:noProof/>
                <w:webHidden/>
              </w:rPr>
              <w:fldChar w:fldCharType="begin"/>
            </w:r>
            <w:r w:rsidR="00493F14">
              <w:rPr>
                <w:noProof/>
                <w:webHidden/>
              </w:rPr>
              <w:instrText xml:space="preserve"> PAGEREF _Toc527365840 \h </w:instrText>
            </w:r>
            <w:r w:rsidR="00493F14">
              <w:rPr>
                <w:noProof/>
                <w:webHidden/>
              </w:rPr>
            </w:r>
            <w:r w:rsidR="00493F14">
              <w:rPr>
                <w:noProof/>
                <w:webHidden/>
              </w:rPr>
              <w:fldChar w:fldCharType="separate"/>
            </w:r>
            <w:r w:rsidR="007F76D3">
              <w:rPr>
                <w:noProof/>
                <w:webHidden/>
              </w:rPr>
              <w:t>4</w:t>
            </w:r>
            <w:r w:rsidR="00493F14">
              <w:rPr>
                <w:noProof/>
                <w:webHidden/>
              </w:rPr>
              <w:fldChar w:fldCharType="end"/>
            </w:r>
          </w:hyperlink>
        </w:p>
        <w:p w14:paraId="4F0E93E6" w14:textId="09CC43C8" w:rsidR="00493F14" w:rsidRDefault="00122460">
          <w:pPr>
            <w:pStyle w:val="TOC2"/>
            <w:rPr>
              <w:rFonts w:asciiTheme="minorHAnsi" w:eastAsiaTheme="minorEastAsia" w:hAnsiTheme="minorHAnsi" w:cstheme="minorBidi"/>
              <w:noProof/>
            </w:rPr>
          </w:pPr>
          <w:hyperlink w:anchor="_Toc527365841" w:history="1">
            <w:r w:rsidR="00493F14" w:rsidRPr="004A4B71">
              <w:rPr>
                <w:rStyle w:val="Hyperlink"/>
                <w:noProof/>
              </w:rPr>
              <w:t>Transit Asset Management Plan Requirements</w:t>
            </w:r>
            <w:r w:rsidR="00493F14">
              <w:rPr>
                <w:noProof/>
                <w:webHidden/>
              </w:rPr>
              <w:tab/>
            </w:r>
            <w:r w:rsidR="00493F14">
              <w:rPr>
                <w:noProof/>
                <w:webHidden/>
              </w:rPr>
              <w:fldChar w:fldCharType="begin"/>
            </w:r>
            <w:r w:rsidR="00493F14">
              <w:rPr>
                <w:noProof/>
                <w:webHidden/>
              </w:rPr>
              <w:instrText xml:space="preserve"> PAGEREF _Toc527365841 \h </w:instrText>
            </w:r>
            <w:r w:rsidR="00493F14">
              <w:rPr>
                <w:noProof/>
                <w:webHidden/>
              </w:rPr>
            </w:r>
            <w:r w:rsidR="00493F14">
              <w:rPr>
                <w:noProof/>
                <w:webHidden/>
              </w:rPr>
              <w:fldChar w:fldCharType="separate"/>
            </w:r>
            <w:r w:rsidR="007F76D3">
              <w:rPr>
                <w:noProof/>
                <w:webHidden/>
              </w:rPr>
              <w:t>5</w:t>
            </w:r>
            <w:r w:rsidR="00493F14">
              <w:rPr>
                <w:noProof/>
                <w:webHidden/>
              </w:rPr>
              <w:fldChar w:fldCharType="end"/>
            </w:r>
          </w:hyperlink>
        </w:p>
        <w:p w14:paraId="7D4CB7CA" w14:textId="490C36E1" w:rsidR="00493F14" w:rsidRDefault="00122460">
          <w:pPr>
            <w:pStyle w:val="TOC2"/>
            <w:rPr>
              <w:rFonts w:asciiTheme="minorHAnsi" w:eastAsiaTheme="minorEastAsia" w:hAnsiTheme="minorHAnsi" w:cstheme="minorBidi"/>
              <w:noProof/>
            </w:rPr>
          </w:pPr>
          <w:hyperlink w:anchor="_Toc527365842" w:history="1">
            <w:r w:rsidR="00493F14" w:rsidRPr="004A4B71">
              <w:rPr>
                <w:rStyle w:val="Hyperlink"/>
                <w:noProof/>
              </w:rPr>
              <w:t>Definitions</w:t>
            </w:r>
            <w:r w:rsidR="00493F14">
              <w:rPr>
                <w:noProof/>
                <w:webHidden/>
              </w:rPr>
              <w:tab/>
            </w:r>
            <w:r w:rsidR="00493F14">
              <w:rPr>
                <w:noProof/>
                <w:webHidden/>
              </w:rPr>
              <w:fldChar w:fldCharType="begin"/>
            </w:r>
            <w:r w:rsidR="00493F14">
              <w:rPr>
                <w:noProof/>
                <w:webHidden/>
              </w:rPr>
              <w:instrText xml:space="preserve"> PAGEREF _Toc527365842 \h </w:instrText>
            </w:r>
            <w:r w:rsidR="00493F14">
              <w:rPr>
                <w:noProof/>
                <w:webHidden/>
              </w:rPr>
            </w:r>
            <w:r w:rsidR="00493F14">
              <w:rPr>
                <w:noProof/>
                <w:webHidden/>
              </w:rPr>
              <w:fldChar w:fldCharType="separate"/>
            </w:r>
            <w:r w:rsidR="007F76D3">
              <w:rPr>
                <w:noProof/>
                <w:webHidden/>
              </w:rPr>
              <w:t>6</w:t>
            </w:r>
            <w:r w:rsidR="00493F14">
              <w:rPr>
                <w:noProof/>
                <w:webHidden/>
              </w:rPr>
              <w:fldChar w:fldCharType="end"/>
            </w:r>
          </w:hyperlink>
        </w:p>
        <w:p w14:paraId="0333CD67" w14:textId="0DDCC8DF" w:rsidR="00493F14" w:rsidRDefault="00122460">
          <w:pPr>
            <w:pStyle w:val="TOC2"/>
            <w:rPr>
              <w:rFonts w:asciiTheme="minorHAnsi" w:eastAsiaTheme="minorEastAsia" w:hAnsiTheme="minorHAnsi" w:cstheme="minorBidi"/>
              <w:noProof/>
            </w:rPr>
          </w:pPr>
          <w:hyperlink w:anchor="_Toc527365843" w:history="1">
            <w:r w:rsidR="00493F14" w:rsidRPr="004A4B71">
              <w:rPr>
                <w:rStyle w:val="Hyperlink"/>
                <w:noProof/>
              </w:rPr>
              <w:t>Rolling Stock and Equipment Classifications</w:t>
            </w:r>
            <w:r w:rsidR="00493F14">
              <w:rPr>
                <w:noProof/>
                <w:webHidden/>
              </w:rPr>
              <w:tab/>
            </w:r>
            <w:r w:rsidR="00493F14">
              <w:rPr>
                <w:noProof/>
                <w:webHidden/>
              </w:rPr>
              <w:fldChar w:fldCharType="begin"/>
            </w:r>
            <w:r w:rsidR="00493F14">
              <w:rPr>
                <w:noProof/>
                <w:webHidden/>
              </w:rPr>
              <w:instrText xml:space="preserve"> PAGEREF _Toc527365843 \h </w:instrText>
            </w:r>
            <w:r w:rsidR="00493F14">
              <w:rPr>
                <w:noProof/>
                <w:webHidden/>
              </w:rPr>
            </w:r>
            <w:r w:rsidR="00493F14">
              <w:rPr>
                <w:noProof/>
                <w:webHidden/>
              </w:rPr>
              <w:fldChar w:fldCharType="separate"/>
            </w:r>
            <w:r w:rsidR="007F76D3">
              <w:rPr>
                <w:noProof/>
                <w:webHidden/>
              </w:rPr>
              <w:t>11</w:t>
            </w:r>
            <w:r w:rsidR="00493F14">
              <w:rPr>
                <w:noProof/>
                <w:webHidden/>
              </w:rPr>
              <w:fldChar w:fldCharType="end"/>
            </w:r>
          </w:hyperlink>
        </w:p>
        <w:p w14:paraId="755B9632" w14:textId="6D8EF87E" w:rsidR="00493F14" w:rsidRDefault="00122460">
          <w:pPr>
            <w:pStyle w:val="TOC2"/>
            <w:rPr>
              <w:rFonts w:asciiTheme="minorHAnsi" w:eastAsiaTheme="minorEastAsia" w:hAnsiTheme="minorHAnsi" w:cstheme="minorBidi"/>
              <w:noProof/>
            </w:rPr>
          </w:pPr>
          <w:hyperlink w:anchor="_Toc527365844" w:history="1">
            <w:r w:rsidR="00493F14" w:rsidRPr="004A4B71">
              <w:rPr>
                <w:rStyle w:val="Hyperlink"/>
                <w:noProof/>
              </w:rPr>
              <w:t>Condition Assessments</w:t>
            </w:r>
            <w:r w:rsidR="00493F14">
              <w:rPr>
                <w:noProof/>
                <w:webHidden/>
              </w:rPr>
              <w:tab/>
            </w:r>
            <w:r w:rsidR="00493F14">
              <w:rPr>
                <w:noProof/>
                <w:webHidden/>
              </w:rPr>
              <w:fldChar w:fldCharType="begin"/>
            </w:r>
            <w:r w:rsidR="00493F14">
              <w:rPr>
                <w:noProof/>
                <w:webHidden/>
              </w:rPr>
              <w:instrText xml:space="preserve"> PAGEREF _Toc527365844 \h </w:instrText>
            </w:r>
            <w:r w:rsidR="00493F14">
              <w:rPr>
                <w:noProof/>
                <w:webHidden/>
              </w:rPr>
            </w:r>
            <w:r w:rsidR="00493F14">
              <w:rPr>
                <w:noProof/>
                <w:webHidden/>
              </w:rPr>
              <w:fldChar w:fldCharType="separate"/>
            </w:r>
            <w:r w:rsidR="007F76D3">
              <w:rPr>
                <w:noProof/>
                <w:webHidden/>
              </w:rPr>
              <w:t>16</w:t>
            </w:r>
            <w:r w:rsidR="00493F14">
              <w:rPr>
                <w:noProof/>
                <w:webHidden/>
              </w:rPr>
              <w:fldChar w:fldCharType="end"/>
            </w:r>
          </w:hyperlink>
        </w:p>
        <w:p w14:paraId="559DFBB2" w14:textId="4A9A082C" w:rsidR="00493F14" w:rsidRDefault="00122460">
          <w:pPr>
            <w:pStyle w:val="TOC3"/>
            <w:tabs>
              <w:tab w:val="right" w:leader="dot" w:pos="9350"/>
            </w:tabs>
            <w:rPr>
              <w:rFonts w:asciiTheme="minorHAnsi" w:eastAsiaTheme="minorEastAsia" w:hAnsiTheme="minorHAnsi" w:cstheme="minorBidi"/>
              <w:noProof/>
            </w:rPr>
          </w:pPr>
          <w:hyperlink w:anchor="_Toc527365845" w:history="1">
            <w:r w:rsidR="00493F14" w:rsidRPr="004A4B71">
              <w:rPr>
                <w:rStyle w:val="Hyperlink"/>
                <w:noProof/>
              </w:rPr>
              <w:t>Rolling Stock and Equipment</w:t>
            </w:r>
            <w:r w:rsidR="00493F14">
              <w:rPr>
                <w:noProof/>
                <w:webHidden/>
              </w:rPr>
              <w:tab/>
            </w:r>
            <w:r w:rsidR="00493F14">
              <w:rPr>
                <w:noProof/>
                <w:webHidden/>
              </w:rPr>
              <w:fldChar w:fldCharType="begin"/>
            </w:r>
            <w:r w:rsidR="00493F14">
              <w:rPr>
                <w:noProof/>
                <w:webHidden/>
              </w:rPr>
              <w:instrText xml:space="preserve"> PAGEREF _Toc527365845 \h </w:instrText>
            </w:r>
            <w:r w:rsidR="00493F14">
              <w:rPr>
                <w:noProof/>
                <w:webHidden/>
              </w:rPr>
            </w:r>
            <w:r w:rsidR="00493F14">
              <w:rPr>
                <w:noProof/>
                <w:webHidden/>
              </w:rPr>
              <w:fldChar w:fldCharType="separate"/>
            </w:r>
            <w:r w:rsidR="007F76D3">
              <w:rPr>
                <w:noProof/>
                <w:webHidden/>
              </w:rPr>
              <w:t>16</w:t>
            </w:r>
            <w:r w:rsidR="00493F14">
              <w:rPr>
                <w:noProof/>
                <w:webHidden/>
              </w:rPr>
              <w:fldChar w:fldCharType="end"/>
            </w:r>
          </w:hyperlink>
        </w:p>
        <w:p w14:paraId="28CDAC10" w14:textId="16BB26C0" w:rsidR="00493F14" w:rsidRDefault="00122460">
          <w:pPr>
            <w:pStyle w:val="TOC3"/>
            <w:tabs>
              <w:tab w:val="right" w:leader="dot" w:pos="9350"/>
            </w:tabs>
            <w:rPr>
              <w:rFonts w:asciiTheme="minorHAnsi" w:eastAsiaTheme="minorEastAsia" w:hAnsiTheme="minorHAnsi" w:cstheme="minorBidi"/>
              <w:noProof/>
            </w:rPr>
          </w:pPr>
          <w:hyperlink w:anchor="_Toc527365846" w:history="1">
            <w:r w:rsidR="00493F14" w:rsidRPr="004A4B71">
              <w:rPr>
                <w:rStyle w:val="Hyperlink"/>
                <w:noProof/>
              </w:rPr>
              <w:t>Facilities</w:t>
            </w:r>
            <w:r w:rsidR="00493F14">
              <w:rPr>
                <w:noProof/>
                <w:webHidden/>
              </w:rPr>
              <w:tab/>
            </w:r>
            <w:r w:rsidR="00493F14">
              <w:rPr>
                <w:noProof/>
                <w:webHidden/>
              </w:rPr>
              <w:fldChar w:fldCharType="begin"/>
            </w:r>
            <w:r w:rsidR="00493F14">
              <w:rPr>
                <w:noProof/>
                <w:webHidden/>
              </w:rPr>
              <w:instrText xml:space="preserve"> PAGEREF _Toc527365846 \h </w:instrText>
            </w:r>
            <w:r w:rsidR="00493F14">
              <w:rPr>
                <w:noProof/>
                <w:webHidden/>
              </w:rPr>
            </w:r>
            <w:r w:rsidR="00493F14">
              <w:rPr>
                <w:noProof/>
                <w:webHidden/>
              </w:rPr>
              <w:fldChar w:fldCharType="separate"/>
            </w:r>
            <w:r w:rsidR="007F76D3">
              <w:rPr>
                <w:noProof/>
                <w:webHidden/>
              </w:rPr>
              <w:t>17</w:t>
            </w:r>
            <w:r w:rsidR="00493F14">
              <w:rPr>
                <w:noProof/>
                <w:webHidden/>
              </w:rPr>
              <w:fldChar w:fldCharType="end"/>
            </w:r>
          </w:hyperlink>
        </w:p>
        <w:p w14:paraId="754EB7D4" w14:textId="0015627F" w:rsidR="00493F14" w:rsidRDefault="00122460">
          <w:pPr>
            <w:pStyle w:val="TOC2"/>
            <w:rPr>
              <w:rFonts w:asciiTheme="minorHAnsi" w:eastAsiaTheme="minorEastAsia" w:hAnsiTheme="minorHAnsi" w:cstheme="minorBidi"/>
              <w:noProof/>
            </w:rPr>
          </w:pPr>
          <w:hyperlink w:anchor="_Toc527365847" w:history="1">
            <w:r w:rsidR="00493F14" w:rsidRPr="004A4B71">
              <w:rPr>
                <w:rStyle w:val="Hyperlink"/>
                <w:noProof/>
              </w:rPr>
              <w:t>Decision Support Tools by Asset Class</w:t>
            </w:r>
            <w:r w:rsidR="00493F14">
              <w:rPr>
                <w:noProof/>
                <w:webHidden/>
              </w:rPr>
              <w:tab/>
            </w:r>
            <w:r w:rsidR="00493F14">
              <w:rPr>
                <w:noProof/>
                <w:webHidden/>
              </w:rPr>
              <w:fldChar w:fldCharType="begin"/>
            </w:r>
            <w:r w:rsidR="00493F14">
              <w:rPr>
                <w:noProof/>
                <w:webHidden/>
              </w:rPr>
              <w:instrText xml:space="preserve"> PAGEREF _Toc527365847 \h </w:instrText>
            </w:r>
            <w:r w:rsidR="00493F14">
              <w:rPr>
                <w:noProof/>
                <w:webHidden/>
              </w:rPr>
            </w:r>
            <w:r w:rsidR="00493F14">
              <w:rPr>
                <w:noProof/>
                <w:webHidden/>
              </w:rPr>
              <w:fldChar w:fldCharType="separate"/>
            </w:r>
            <w:r w:rsidR="007F76D3">
              <w:rPr>
                <w:noProof/>
                <w:webHidden/>
              </w:rPr>
              <w:t>23</w:t>
            </w:r>
            <w:r w:rsidR="00493F14">
              <w:rPr>
                <w:noProof/>
                <w:webHidden/>
              </w:rPr>
              <w:fldChar w:fldCharType="end"/>
            </w:r>
          </w:hyperlink>
        </w:p>
        <w:p w14:paraId="67EF2DEF" w14:textId="21833161" w:rsidR="00493F14" w:rsidRDefault="00122460">
          <w:pPr>
            <w:pStyle w:val="TOC1"/>
            <w:rPr>
              <w:rFonts w:asciiTheme="minorHAnsi" w:eastAsiaTheme="minorEastAsia" w:hAnsiTheme="minorHAnsi" w:cstheme="minorBidi"/>
              <w:noProof/>
            </w:rPr>
          </w:pPr>
          <w:hyperlink w:anchor="_Toc527365848" w:history="1">
            <w:r w:rsidR="00493F14" w:rsidRPr="004A4B71">
              <w:rPr>
                <w:rStyle w:val="Hyperlink"/>
                <w:noProof/>
              </w:rPr>
              <w:t>Investment Prioritization</w:t>
            </w:r>
            <w:r w:rsidR="00493F14">
              <w:rPr>
                <w:noProof/>
                <w:webHidden/>
              </w:rPr>
              <w:tab/>
            </w:r>
            <w:r w:rsidR="00493F14">
              <w:rPr>
                <w:noProof/>
                <w:webHidden/>
              </w:rPr>
              <w:fldChar w:fldCharType="begin"/>
            </w:r>
            <w:r w:rsidR="00493F14">
              <w:rPr>
                <w:noProof/>
                <w:webHidden/>
              </w:rPr>
              <w:instrText xml:space="preserve"> PAGEREF _Toc527365848 \h </w:instrText>
            </w:r>
            <w:r w:rsidR="00493F14">
              <w:rPr>
                <w:noProof/>
                <w:webHidden/>
              </w:rPr>
            </w:r>
            <w:r w:rsidR="00493F14">
              <w:rPr>
                <w:noProof/>
                <w:webHidden/>
              </w:rPr>
              <w:fldChar w:fldCharType="separate"/>
            </w:r>
            <w:r w:rsidR="007F76D3">
              <w:rPr>
                <w:noProof/>
                <w:webHidden/>
              </w:rPr>
              <w:t>27</w:t>
            </w:r>
            <w:r w:rsidR="00493F14">
              <w:rPr>
                <w:noProof/>
                <w:webHidden/>
              </w:rPr>
              <w:fldChar w:fldCharType="end"/>
            </w:r>
          </w:hyperlink>
        </w:p>
        <w:p w14:paraId="019974E3" w14:textId="534B2A95" w:rsidR="00923417" w:rsidRDefault="00311374">
          <w:r>
            <w:fldChar w:fldCharType="end"/>
          </w:r>
        </w:p>
      </w:sdtContent>
    </w:sdt>
    <w:p w14:paraId="4CE8534C" w14:textId="77777777" w:rsidR="005B73A7" w:rsidRDefault="005B73A7">
      <w:pPr>
        <w:rPr>
          <w:b/>
          <w:sz w:val="28"/>
        </w:rPr>
      </w:pPr>
    </w:p>
    <w:p w14:paraId="30069811" w14:textId="5A3E8EA7" w:rsidR="00BE5F13" w:rsidRDefault="00BE5F13">
      <w:pPr>
        <w:rPr>
          <w:b/>
          <w:sz w:val="28"/>
        </w:rPr>
      </w:pPr>
    </w:p>
    <w:p w14:paraId="2CF37BE7" w14:textId="77777777" w:rsidR="006778FE" w:rsidRDefault="006778FE">
      <w:pPr>
        <w:rPr>
          <w:b/>
          <w:sz w:val="28"/>
        </w:rPr>
      </w:pPr>
    </w:p>
    <w:p w14:paraId="2FFEA15D" w14:textId="77777777" w:rsidR="00BE5F13" w:rsidRDefault="00BE5F13">
      <w:pPr>
        <w:rPr>
          <w:b/>
          <w:sz w:val="28"/>
        </w:rPr>
      </w:pPr>
    </w:p>
    <w:p w14:paraId="38D2960C" w14:textId="77777777" w:rsidR="00BE5F13" w:rsidRDefault="00BE5F13">
      <w:pPr>
        <w:rPr>
          <w:b/>
          <w:sz w:val="28"/>
        </w:rPr>
      </w:pPr>
    </w:p>
    <w:p w14:paraId="1B65B29C" w14:textId="77777777" w:rsidR="00BE5F13" w:rsidRDefault="00BE5F13">
      <w:pPr>
        <w:rPr>
          <w:b/>
          <w:sz w:val="28"/>
        </w:rPr>
      </w:pPr>
    </w:p>
    <w:p w14:paraId="373D826C" w14:textId="77777777" w:rsidR="00BE5F13" w:rsidRDefault="00BE5F13">
      <w:pPr>
        <w:rPr>
          <w:b/>
          <w:sz w:val="28"/>
        </w:rPr>
      </w:pPr>
    </w:p>
    <w:p w14:paraId="068DEBBD" w14:textId="77777777" w:rsidR="00BE5F13" w:rsidRDefault="00BE5F13">
      <w:pPr>
        <w:rPr>
          <w:b/>
          <w:sz w:val="28"/>
        </w:rPr>
      </w:pPr>
    </w:p>
    <w:p w14:paraId="50D540DE" w14:textId="77777777" w:rsidR="00BE5F13" w:rsidRDefault="00BE5F13">
      <w:pPr>
        <w:rPr>
          <w:b/>
          <w:sz w:val="28"/>
        </w:rPr>
      </w:pPr>
    </w:p>
    <w:p w14:paraId="7E39CE17" w14:textId="77777777" w:rsidR="00BE5F13" w:rsidRDefault="00BE5F13">
      <w:pPr>
        <w:rPr>
          <w:b/>
          <w:sz w:val="28"/>
        </w:rPr>
      </w:pPr>
    </w:p>
    <w:p w14:paraId="5D07561B" w14:textId="77777777" w:rsidR="00BE5F13" w:rsidRDefault="00BE5F13">
      <w:pPr>
        <w:rPr>
          <w:b/>
          <w:sz w:val="28"/>
        </w:rPr>
      </w:pPr>
    </w:p>
    <w:p w14:paraId="14C063DD" w14:textId="77777777" w:rsidR="00BE5F13" w:rsidRDefault="00BE5F13">
      <w:pPr>
        <w:rPr>
          <w:b/>
          <w:sz w:val="28"/>
        </w:rPr>
      </w:pPr>
    </w:p>
    <w:p w14:paraId="79E567E7" w14:textId="77777777" w:rsidR="00BE5F13" w:rsidRDefault="00BE5F13">
      <w:pPr>
        <w:rPr>
          <w:b/>
          <w:sz w:val="28"/>
        </w:rPr>
      </w:pPr>
    </w:p>
    <w:p w14:paraId="7903301B" w14:textId="77777777" w:rsidR="00BE5F13" w:rsidRDefault="00BE5F13">
      <w:pPr>
        <w:rPr>
          <w:b/>
          <w:sz w:val="28"/>
        </w:rPr>
      </w:pPr>
    </w:p>
    <w:p w14:paraId="27A0BDB3" w14:textId="073E9D72" w:rsidR="00BE5F13" w:rsidRDefault="00BE5F13">
      <w:pPr>
        <w:rPr>
          <w:b/>
          <w:sz w:val="28"/>
        </w:rPr>
      </w:pPr>
    </w:p>
    <w:p w14:paraId="082AD112" w14:textId="77777777" w:rsidR="00086894" w:rsidRDefault="00086894">
      <w:pPr>
        <w:rPr>
          <w:b/>
          <w:sz w:val="28"/>
        </w:rPr>
      </w:pPr>
    </w:p>
    <w:p w14:paraId="23ACC790" w14:textId="77777777" w:rsidR="00BE5F13" w:rsidRDefault="00BE5F13">
      <w:pPr>
        <w:rPr>
          <w:b/>
          <w:sz w:val="28"/>
        </w:rPr>
      </w:pPr>
    </w:p>
    <w:p w14:paraId="180F7D4F" w14:textId="77777777" w:rsidR="00BE5F13" w:rsidRDefault="00BE5F13">
      <w:pPr>
        <w:rPr>
          <w:b/>
          <w:sz w:val="28"/>
        </w:rPr>
      </w:pPr>
    </w:p>
    <w:p w14:paraId="2D30FF6D" w14:textId="0C27295A" w:rsidR="00BE5F13" w:rsidRDefault="00BE5F13">
      <w:pPr>
        <w:rPr>
          <w:b/>
          <w:sz w:val="28"/>
        </w:rPr>
      </w:pPr>
    </w:p>
    <w:p w14:paraId="556A0D61" w14:textId="6090181B" w:rsidR="00493F14" w:rsidRDefault="00493F14">
      <w:pPr>
        <w:rPr>
          <w:b/>
          <w:sz w:val="28"/>
        </w:rPr>
      </w:pPr>
    </w:p>
    <w:p w14:paraId="12F9A3CB" w14:textId="771FEA34" w:rsidR="00493F14" w:rsidRDefault="00493F14">
      <w:pPr>
        <w:rPr>
          <w:b/>
          <w:sz w:val="28"/>
        </w:rPr>
      </w:pPr>
    </w:p>
    <w:p w14:paraId="1E68B3FF" w14:textId="77777777" w:rsidR="00A261F7" w:rsidRDefault="00A261F7">
      <w:pPr>
        <w:rPr>
          <w:b/>
          <w:sz w:val="28"/>
        </w:rPr>
      </w:pPr>
    </w:p>
    <w:p w14:paraId="24AC9641" w14:textId="35BCC2F6" w:rsidR="00791F80" w:rsidRDefault="00791F80">
      <w:pPr>
        <w:rPr>
          <w:b/>
          <w:sz w:val="28"/>
        </w:rPr>
      </w:pPr>
      <w:r w:rsidRPr="00D73180">
        <w:rPr>
          <w:b/>
          <w:sz w:val="28"/>
        </w:rPr>
        <w:lastRenderedPageBreak/>
        <w:t>TABLES</w:t>
      </w:r>
    </w:p>
    <w:p w14:paraId="3241C64D" w14:textId="77777777" w:rsidR="00BE5F13" w:rsidRDefault="00BE5F13">
      <w:pPr>
        <w:rPr>
          <w:b/>
          <w:sz w:val="24"/>
        </w:rPr>
      </w:pPr>
    </w:p>
    <w:p w14:paraId="0CB6B37F" w14:textId="47BAFE14" w:rsidR="00791F80" w:rsidRPr="00D73180" w:rsidRDefault="00791F80">
      <w:r w:rsidRPr="00D73180">
        <w:t xml:space="preserve">Table 1 </w:t>
      </w:r>
      <w:r w:rsidR="00D73180" w:rsidRPr="00D73180">
        <w:t>Rolling Stock Classifications</w:t>
      </w:r>
      <w:r w:rsidR="00D73180" w:rsidRPr="00D73180">
        <w:tab/>
      </w:r>
      <w:r w:rsidR="00D73180" w:rsidRPr="00D73180">
        <w:tab/>
      </w:r>
      <w:r w:rsidR="00D73180" w:rsidRPr="00D73180">
        <w:tab/>
      </w:r>
      <w:r w:rsidR="00D73180" w:rsidRPr="00D73180">
        <w:tab/>
      </w:r>
      <w:r w:rsidR="00D73180" w:rsidRPr="00D73180">
        <w:tab/>
      </w:r>
      <w:r w:rsidR="00D73180" w:rsidRPr="00D73180">
        <w:tab/>
      </w:r>
      <w:r w:rsidR="00D73180" w:rsidRPr="00D73180">
        <w:tab/>
        <w:t>7</w:t>
      </w:r>
    </w:p>
    <w:p w14:paraId="6BB219DB" w14:textId="152C9942" w:rsidR="00D73180" w:rsidRDefault="00D73180">
      <w:r w:rsidRPr="00D73180">
        <w:t>Table 2 Rolling Stock and Non-Revenue Vehicle by Provider</w:t>
      </w:r>
      <w:r>
        <w:tab/>
      </w:r>
      <w:r>
        <w:tab/>
      </w:r>
      <w:r>
        <w:tab/>
      </w:r>
      <w:r>
        <w:tab/>
        <w:t>8</w:t>
      </w:r>
    </w:p>
    <w:p w14:paraId="4A15736C" w14:textId="6D9E548F" w:rsidR="00451AA0" w:rsidRPr="00451AA0" w:rsidRDefault="00451AA0" w:rsidP="00451AA0">
      <w:pPr>
        <w:rPr>
          <w:rFonts w:cs="Arial"/>
        </w:rPr>
      </w:pPr>
      <w:r w:rsidRPr="00451AA0">
        <w:rPr>
          <w:rFonts w:cs="Arial"/>
        </w:rPr>
        <w:t>Table 3 Facility Maintenance Procedures by Asset Type and Responsible Party</w:t>
      </w:r>
      <w:r>
        <w:rPr>
          <w:rFonts w:cs="Arial"/>
        </w:rPr>
        <w:tab/>
      </w:r>
      <w:r>
        <w:rPr>
          <w:rFonts w:cs="Arial"/>
        </w:rPr>
        <w:tab/>
        <w:t>10</w:t>
      </w:r>
    </w:p>
    <w:p w14:paraId="6B002D0D" w14:textId="615AC5C6" w:rsidR="00D73180" w:rsidRPr="001E233F" w:rsidRDefault="000610EB">
      <w:pPr>
        <w:rPr>
          <w:sz w:val="24"/>
        </w:rPr>
      </w:pPr>
      <w:r w:rsidRPr="001E233F">
        <w:t xml:space="preserve">Table </w:t>
      </w:r>
      <w:r w:rsidR="00451AA0">
        <w:t>4</w:t>
      </w:r>
      <w:r w:rsidRPr="001E233F">
        <w:t xml:space="preserve"> MaineDOT Rolling Stock and Non-Revenue Vehicle Information Request Form</w:t>
      </w:r>
      <w:r w:rsidR="001E233F">
        <w:tab/>
        <w:t>1</w:t>
      </w:r>
      <w:r w:rsidR="00086894">
        <w:t>3</w:t>
      </w:r>
      <w:r w:rsidR="001E233F">
        <w:tab/>
      </w:r>
    </w:p>
    <w:p w14:paraId="30010376" w14:textId="3BA54BFC" w:rsidR="00791F80" w:rsidRPr="001E233F" w:rsidRDefault="001E233F">
      <w:r w:rsidRPr="001E233F">
        <w:t xml:space="preserve">Table </w:t>
      </w:r>
      <w:r w:rsidR="00451AA0">
        <w:t>5</w:t>
      </w:r>
      <w:r w:rsidRPr="001E233F">
        <w:t xml:space="preserve"> MaineDOT Facility Information Request Form</w:t>
      </w:r>
      <w:r>
        <w:tab/>
      </w:r>
      <w:r>
        <w:tab/>
      </w:r>
      <w:r>
        <w:tab/>
      </w:r>
      <w:r>
        <w:tab/>
      </w:r>
      <w:r>
        <w:tab/>
        <w:t>1</w:t>
      </w:r>
      <w:r w:rsidR="00086894">
        <w:t>3</w:t>
      </w:r>
    </w:p>
    <w:p w14:paraId="1BFDAE48" w14:textId="505B6600" w:rsidR="008B20FF" w:rsidRDefault="001E233F">
      <w:r w:rsidRPr="001E233F">
        <w:t xml:space="preserve">Table </w:t>
      </w:r>
      <w:r w:rsidR="00451AA0">
        <w:t>6</w:t>
      </w:r>
      <w:r w:rsidRPr="001E233F">
        <w:t xml:space="preserve"> MaineDOT Ferry Vessel Information Request Form</w:t>
      </w:r>
      <w:r>
        <w:tab/>
      </w:r>
      <w:r>
        <w:tab/>
      </w:r>
      <w:r>
        <w:tab/>
      </w:r>
      <w:r>
        <w:tab/>
        <w:t>1</w:t>
      </w:r>
      <w:r w:rsidR="00086894">
        <w:t>3</w:t>
      </w:r>
    </w:p>
    <w:p w14:paraId="3438DAF0" w14:textId="048364BF" w:rsidR="001E233F" w:rsidRPr="001E233F" w:rsidRDefault="001E233F">
      <w:r w:rsidRPr="001E233F">
        <w:t xml:space="preserve">Table </w:t>
      </w:r>
      <w:r w:rsidR="00451AA0">
        <w:t>7</w:t>
      </w:r>
      <w:r w:rsidRPr="001E233F">
        <w:t xml:space="preserve"> Rolling Stock Condition Scale</w:t>
      </w:r>
      <w:r>
        <w:tab/>
      </w:r>
      <w:r>
        <w:tab/>
      </w:r>
      <w:r>
        <w:tab/>
      </w:r>
      <w:r>
        <w:tab/>
      </w:r>
      <w:r>
        <w:tab/>
      </w:r>
      <w:r>
        <w:tab/>
      </w:r>
      <w:r>
        <w:tab/>
        <w:t>1</w:t>
      </w:r>
      <w:r w:rsidR="00086894">
        <w:t>4</w:t>
      </w:r>
    </w:p>
    <w:p w14:paraId="535C43B3" w14:textId="417193F1" w:rsidR="001E233F" w:rsidRDefault="001E233F" w:rsidP="001E233F">
      <w:r w:rsidRPr="001E233F">
        <w:t xml:space="preserve">Table </w:t>
      </w:r>
      <w:r w:rsidR="00451AA0">
        <w:t>8</w:t>
      </w:r>
      <w:r w:rsidRPr="001E233F">
        <w:t xml:space="preserve"> MaineDOT Facility Conditional Assessment Tool</w:t>
      </w:r>
      <w:r>
        <w:tab/>
      </w:r>
      <w:r>
        <w:tab/>
      </w:r>
      <w:r>
        <w:tab/>
      </w:r>
      <w:r>
        <w:tab/>
      </w:r>
      <w:r>
        <w:tab/>
        <w:t>1</w:t>
      </w:r>
      <w:r w:rsidR="00086894">
        <w:t>6</w:t>
      </w:r>
    </w:p>
    <w:p w14:paraId="737E5EFC" w14:textId="2AB2E373" w:rsidR="001E233F" w:rsidRDefault="001E233F" w:rsidP="001E233F">
      <w:pPr>
        <w:rPr>
          <w:rFonts w:eastAsia="Times New Roman" w:cs="Calibri"/>
          <w:color w:val="000000"/>
        </w:rPr>
      </w:pPr>
      <w:r w:rsidRPr="001E233F">
        <w:rPr>
          <w:rFonts w:eastAsia="Times New Roman" w:cs="Calibri"/>
          <w:color w:val="000000"/>
        </w:rPr>
        <w:t xml:space="preserve">Table </w:t>
      </w:r>
      <w:r w:rsidR="00451AA0">
        <w:rPr>
          <w:rFonts w:eastAsia="Times New Roman" w:cs="Calibri"/>
          <w:color w:val="000000"/>
        </w:rPr>
        <w:t>9</w:t>
      </w:r>
      <w:r w:rsidRPr="001E233F">
        <w:rPr>
          <w:rFonts w:eastAsia="Times New Roman" w:cs="Calibri"/>
          <w:color w:val="000000"/>
        </w:rPr>
        <w:t xml:space="preserve"> MaineDOT Conditional Assessment Tool – Ferry Infrastructure</w:t>
      </w:r>
      <w:r>
        <w:rPr>
          <w:rFonts w:eastAsia="Times New Roman" w:cs="Calibri"/>
          <w:color w:val="000000"/>
        </w:rPr>
        <w:tab/>
      </w:r>
      <w:r>
        <w:rPr>
          <w:rFonts w:eastAsia="Times New Roman" w:cs="Calibri"/>
          <w:color w:val="000000"/>
        </w:rPr>
        <w:tab/>
      </w:r>
      <w:r>
        <w:rPr>
          <w:rFonts w:eastAsia="Times New Roman" w:cs="Calibri"/>
          <w:color w:val="000000"/>
        </w:rPr>
        <w:tab/>
        <w:t>1</w:t>
      </w:r>
      <w:r w:rsidR="00086894">
        <w:rPr>
          <w:rFonts w:eastAsia="Times New Roman" w:cs="Calibri"/>
          <w:color w:val="000000"/>
        </w:rPr>
        <w:t>7</w:t>
      </w:r>
    </w:p>
    <w:p w14:paraId="39D21ADA" w14:textId="5CDA4D82" w:rsidR="001E233F" w:rsidRDefault="001E233F" w:rsidP="001E233F">
      <w:pPr>
        <w:rPr>
          <w:rFonts w:eastAsia="Times New Roman" w:cs="Calibri"/>
          <w:color w:val="000000"/>
        </w:rPr>
      </w:pPr>
      <w:r w:rsidRPr="001E233F">
        <w:rPr>
          <w:rFonts w:eastAsia="Times New Roman" w:cs="Calibri"/>
          <w:color w:val="000000"/>
        </w:rPr>
        <w:t xml:space="preserve">Table </w:t>
      </w:r>
      <w:r w:rsidR="00451AA0">
        <w:rPr>
          <w:rFonts w:eastAsia="Times New Roman" w:cs="Calibri"/>
          <w:color w:val="000000"/>
        </w:rPr>
        <w:t>10</w:t>
      </w:r>
      <w:r w:rsidRPr="001E233F">
        <w:rPr>
          <w:rFonts w:eastAsia="Times New Roman" w:cs="Calibri"/>
          <w:color w:val="000000"/>
        </w:rPr>
        <w:t xml:space="preserve"> MaineDOT Conditional Assessment Tool – Ferry Transfer Bridges</w:t>
      </w:r>
      <w:r>
        <w:rPr>
          <w:rFonts w:eastAsia="Times New Roman" w:cs="Calibri"/>
          <w:color w:val="000000"/>
        </w:rPr>
        <w:tab/>
      </w:r>
      <w:r>
        <w:rPr>
          <w:rFonts w:eastAsia="Times New Roman" w:cs="Calibri"/>
          <w:color w:val="000000"/>
        </w:rPr>
        <w:tab/>
        <w:t>1</w:t>
      </w:r>
      <w:r w:rsidR="00086894">
        <w:rPr>
          <w:rFonts w:eastAsia="Times New Roman" w:cs="Calibri"/>
          <w:color w:val="000000"/>
        </w:rPr>
        <w:t>8</w:t>
      </w:r>
    </w:p>
    <w:p w14:paraId="1AAD8429" w14:textId="1F71AA9A" w:rsidR="00C51EC9" w:rsidRDefault="00086894" w:rsidP="001E233F">
      <w:pPr>
        <w:rPr>
          <w:rFonts w:eastAsia="Times New Roman" w:cs="Calibri"/>
          <w:color w:val="000000"/>
        </w:rPr>
      </w:pPr>
      <w:r w:rsidRPr="00086894">
        <w:rPr>
          <w:rFonts w:eastAsia="Times New Roman" w:cs="Calibri"/>
          <w:color w:val="000000"/>
        </w:rPr>
        <w:t>Table 11 Facility Condition Assessment Rating Scale and Assessor Information</w:t>
      </w:r>
      <w:r>
        <w:rPr>
          <w:rFonts w:eastAsia="Times New Roman" w:cs="Calibri"/>
          <w:color w:val="000000"/>
        </w:rPr>
        <w:tab/>
      </w:r>
      <w:r w:rsidR="00DA0923">
        <w:rPr>
          <w:rFonts w:eastAsia="Times New Roman" w:cs="Calibri"/>
          <w:color w:val="000000"/>
        </w:rPr>
        <w:tab/>
        <w:t>1</w:t>
      </w:r>
      <w:r>
        <w:rPr>
          <w:rFonts w:eastAsia="Times New Roman" w:cs="Calibri"/>
          <w:color w:val="000000"/>
        </w:rPr>
        <w:t>9</w:t>
      </w:r>
    </w:p>
    <w:p w14:paraId="4D547D92" w14:textId="5F7B02F7" w:rsidR="00451AA0" w:rsidRPr="00451AA0" w:rsidRDefault="00451AA0" w:rsidP="001E233F">
      <w:pPr>
        <w:rPr>
          <w:rFonts w:eastAsia="Times New Roman" w:cs="Calibri"/>
          <w:color w:val="000000"/>
        </w:rPr>
      </w:pPr>
      <w:r w:rsidRPr="00451AA0">
        <w:rPr>
          <w:rFonts w:eastAsia="Times New Roman" w:cs="Calibri"/>
          <w:color w:val="000000"/>
        </w:rPr>
        <w:t>Table 12 Condition Rating Scale for Ferry Vessels</w:t>
      </w:r>
      <w:r w:rsidR="00086894">
        <w:rPr>
          <w:rFonts w:eastAsia="Times New Roman" w:cs="Calibri"/>
          <w:color w:val="000000"/>
        </w:rPr>
        <w:tab/>
      </w:r>
      <w:r w:rsidR="00086894">
        <w:rPr>
          <w:rFonts w:eastAsia="Times New Roman" w:cs="Calibri"/>
          <w:color w:val="000000"/>
        </w:rPr>
        <w:tab/>
      </w:r>
      <w:r w:rsidR="00086894">
        <w:rPr>
          <w:rFonts w:eastAsia="Times New Roman" w:cs="Calibri"/>
          <w:color w:val="000000"/>
        </w:rPr>
        <w:tab/>
      </w:r>
      <w:r w:rsidR="00086894">
        <w:rPr>
          <w:rFonts w:eastAsia="Times New Roman" w:cs="Calibri"/>
          <w:color w:val="000000"/>
        </w:rPr>
        <w:tab/>
      </w:r>
      <w:r w:rsidR="00086894">
        <w:rPr>
          <w:rFonts w:eastAsia="Times New Roman" w:cs="Calibri"/>
          <w:color w:val="000000"/>
        </w:rPr>
        <w:tab/>
      </w:r>
      <w:r w:rsidR="00086894">
        <w:rPr>
          <w:rFonts w:eastAsia="Times New Roman" w:cs="Calibri"/>
          <w:color w:val="000000"/>
        </w:rPr>
        <w:tab/>
        <w:t>20</w:t>
      </w:r>
    </w:p>
    <w:p w14:paraId="1F719820" w14:textId="001CE852" w:rsidR="00BE5F13" w:rsidRDefault="00BE5F13" w:rsidP="00BE5F13">
      <w:r w:rsidRPr="00BE5F13">
        <w:t xml:space="preserve">Table </w:t>
      </w:r>
      <w:r w:rsidR="00451AA0">
        <w:t>20</w:t>
      </w:r>
      <w:r w:rsidRPr="00BE5F13">
        <w:t xml:space="preserve"> MaineDOT Targets </w:t>
      </w:r>
      <w:r>
        <w:tab/>
      </w:r>
      <w:r>
        <w:tab/>
      </w:r>
      <w:r>
        <w:tab/>
      </w:r>
      <w:r>
        <w:tab/>
      </w:r>
      <w:r>
        <w:tab/>
      </w:r>
      <w:r>
        <w:tab/>
      </w:r>
      <w:r>
        <w:tab/>
      </w:r>
      <w:r>
        <w:tab/>
      </w:r>
      <w:r w:rsidR="00086894">
        <w:t>27</w:t>
      </w:r>
    </w:p>
    <w:p w14:paraId="08752C3D" w14:textId="60B01EC2" w:rsidR="006778FE" w:rsidRDefault="006778FE" w:rsidP="00BE5F13"/>
    <w:p w14:paraId="28D04D85" w14:textId="77777777" w:rsidR="006778FE" w:rsidRDefault="006778FE" w:rsidP="00BE5F13"/>
    <w:p w14:paraId="173139D3" w14:textId="5AE96A83" w:rsidR="006778FE" w:rsidRDefault="006778FE" w:rsidP="00BE5F13">
      <w:r>
        <w:t>TABLES</w:t>
      </w:r>
      <w:r w:rsidR="005B73A7">
        <w:t xml:space="preserve"> – Separate Documents</w:t>
      </w:r>
    </w:p>
    <w:p w14:paraId="50928F48" w14:textId="218FB0B3" w:rsidR="006778FE" w:rsidRDefault="006778FE" w:rsidP="00BE5F13"/>
    <w:p w14:paraId="72246D31" w14:textId="53200141" w:rsidR="006778FE" w:rsidRPr="001E233F" w:rsidRDefault="006778FE" w:rsidP="006778FE">
      <w:r w:rsidRPr="001E233F">
        <w:t>Table 1</w:t>
      </w:r>
      <w:r>
        <w:t>3</w:t>
      </w:r>
      <w:r w:rsidRPr="001E233F">
        <w:t xml:space="preserve"> Fleet Summary VAN</w:t>
      </w:r>
      <w:r>
        <w:tab/>
      </w:r>
      <w:r>
        <w:tab/>
      </w:r>
      <w:r>
        <w:tab/>
      </w:r>
      <w:r>
        <w:tab/>
      </w:r>
      <w:r>
        <w:tab/>
      </w:r>
      <w:r>
        <w:tab/>
      </w:r>
      <w:r>
        <w:tab/>
      </w:r>
      <w:r>
        <w:tab/>
      </w:r>
    </w:p>
    <w:p w14:paraId="7A7DE4B6" w14:textId="0DDD077D" w:rsidR="006778FE" w:rsidRDefault="006778FE" w:rsidP="006778FE">
      <w:r w:rsidRPr="001E233F">
        <w:t>Table 1</w:t>
      </w:r>
      <w:r>
        <w:t>4</w:t>
      </w:r>
      <w:r w:rsidRPr="001E233F">
        <w:t xml:space="preserve"> Fleet Summary LDB</w:t>
      </w:r>
      <w:r>
        <w:tab/>
      </w:r>
      <w:r>
        <w:tab/>
      </w:r>
      <w:r>
        <w:tab/>
      </w:r>
      <w:r>
        <w:tab/>
      </w:r>
      <w:r>
        <w:tab/>
      </w:r>
      <w:r>
        <w:tab/>
      </w:r>
      <w:r>
        <w:tab/>
      </w:r>
      <w:r>
        <w:tab/>
      </w:r>
    </w:p>
    <w:p w14:paraId="4ABC1A52" w14:textId="7374F6F6" w:rsidR="006778FE" w:rsidRDefault="006778FE" w:rsidP="006778FE">
      <w:r w:rsidRPr="001E233F">
        <w:t>Table 1</w:t>
      </w:r>
      <w:r>
        <w:t>5</w:t>
      </w:r>
      <w:r w:rsidRPr="001E233F">
        <w:t xml:space="preserve"> Fleet Summary SMDB</w:t>
      </w:r>
      <w:r>
        <w:tab/>
      </w:r>
      <w:r>
        <w:tab/>
      </w:r>
      <w:r>
        <w:tab/>
      </w:r>
      <w:r>
        <w:tab/>
      </w:r>
      <w:r>
        <w:tab/>
      </w:r>
      <w:r>
        <w:tab/>
      </w:r>
      <w:r>
        <w:tab/>
      </w:r>
      <w:r>
        <w:tab/>
      </w:r>
    </w:p>
    <w:p w14:paraId="2D4A8D8A" w14:textId="785C8272" w:rsidR="006778FE" w:rsidRDefault="006778FE" w:rsidP="006778FE">
      <w:r w:rsidRPr="001E233F">
        <w:t>Table 1</w:t>
      </w:r>
      <w:r>
        <w:t>6</w:t>
      </w:r>
      <w:r w:rsidRPr="001E233F">
        <w:t xml:space="preserve"> Fleet Summary MHDB</w:t>
      </w:r>
      <w:r w:rsidR="00E56EA7">
        <w:t xml:space="preserve"> (Not Applicable for this version of the TAM Plan]</w:t>
      </w:r>
      <w:r>
        <w:tab/>
      </w:r>
      <w:r>
        <w:tab/>
      </w:r>
      <w:r>
        <w:tab/>
      </w:r>
    </w:p>
    <w:p w14:paraId="2024A121" w14:textId="1CEA8003" w:rsidR="006778FE" w:rsidRDefault="006778FE" w:rsidP="006778FE">
      <w:r w:rsidRPr="001E233F">
        <w:t>Table 1</w:t>
      </w:r>
      <w:r>
        <w:t>7</w:t>
      </w:r>
      <w:r w:rsidRPr="001E233F">
        <w:t xml:space="preserve"> Fleet Summary SHDB</w:t>
      </w:r>
      <w:r w:rsidR="00E56EA7">
        <w:t xml:space="preserve"> (Not Applicable for this version of the TAM Plan]</w:t>
      </w:r>
      <w:r w:rsidR="00E56EA7">
        <w:tab/>
      </w:r>
      <w:r>
        <w:tab/>
      </w:r>
      <w:r>
        <w:tab/>
      </w:r>
    </w:p>
    <w:p w14:paraId="38463918" w14:textId="142B1D00" w:rsidR="006778FE" w:rsidRDefault="006778FE" w:rsidP="006778FE">
      <w:r w:rsidRPr="00BE5F13">
        <w:t>Table 1</w:t>
      </w:r>
      <w:r>
        <w:t>8</w:t>
      </w:r>
      <w:r w:rsidRPr="00BE5F13">
        <w:t xml:space="preserve"> </w:t>
      </w:r>
      <w:r w:rsidR="00B2619A">
        <w:t>Equipment – Non-Revenue Vehicles (NRV)</w:t>
      </w:r>
      <w:r>
        <w:tab/>
      </w:r>
      <w:r>
        <w:tab/>
      </w:r>
      <w:r>
        <w:tab/>
      </w:r>
      <w:r>
        <w:tab/>
      </w:r>
      <w:r>
        <w:tab/>
      </w:r>
    </w:p>
    <w:p w14:paraId="790919D8" w14:textId="550440AC" w:rsidR="006778FE" w:rsidRDefault="006778FE" w:rsidP="006778FE">
      <w:r w:rsidRPr="00BE5F13">
        <w:t>Table 1</w:t>
      </w:r>
      <w:r>
        <w:t>9</w:t>
      </w:r>
      <w:r w:rsidRPr="00BE5F13">
        <w:t xml:space="preserve"> </w:t>
      </w:r>
      <w:r w:rsidR="00B2619A">
        <w:t>Fleet Summary Ferry</w:t>
      </w:r>
      <w:r>
        <w:tab/>
      </w:r>
      <w:r w:rsidR="00B2619A">
        <w:tab/>
      </w:r>
      <w:r w:rsidR="00B2619A">
        <w:tab/>
      </w:r>
      <w:r w:rsidR="00B2619A">
        <w:tab/>
      </w:r>
      <w:r>
        <w:tab/>
      </w:r>
      <w:r>
        <w:tab/>
      </w:r>
      <w:r>
        <w:tab/>
      </w:r>
      <w:r>
        <w:tab/>
      </w:r>
    </w:p>
    <w:p w14:paraId="726778AD" w14:textId="1F31DEC1" w:rsidR="006778FE" w:rsidRPr="00BE5F13" w:rsidRDefault="006778FE" w:rsidP="006778FE">
      <w:r w:rsidRPr="00BE5F13">
        <w:t xml:space="preserve">Table </w:t>
      </w:r>
      <w:r>
        <w:t>21</w:t>
      </w:r>
      <w:r w:rsidRPr="00BE5F13">
        <w:t xml:space="preserve"> Investment Priority Table, Rolling Stock 20</w:t>
      </w:r>
      <w:r w:rsidR="005B73A7">
        <w:t>21</w:t>
      </w:r>
      <w:r>
        <w:tab/>
      </w:r>
      <w:r>
        <w:tab/>
      </w:r>
      <w:r>
        <w:tab/>
      </w:r>
      <w:r>
        <w:tab/>
      </w:r>
      <w:r>
        <w:tab/>
      </w:r>
    </w:p>
    <w:p w14:paraId="068D7E9C" w14:textId="573B448A" w:rsidR="006778FE" w:rsidRDefault="006778FE" w:rsidP="006778FE">
      <w:r w:rsidRPr="00BE5F13">
        <w:t xml:space="preserve">Table </w:t>
      </w:r>
      <w:r>
        <w:t>22</w:t>
      </w:r>
      <w:r w:rsidRPr="00BE5F13">
        <w:t xml:space="preserve"> Investment Priority Table – Rolling Stock by Type (projected over 2-5 years)</w:t>
      </w:r>
      <w:r>
        <w:tab/>
      </w:r>
    </w:p>
    <w:p w14:paraId="7D3EE097" w14:textId="71E2DD3F" w:rsidR="006778FE" w:rsidRDefault="006778FE" w:rsidP="006778FE">
      <w:r w:rsidRPr="00BE5F13">
        <w:t>Table 2</w:t>
      </w:r>
      <w:r>
        <w:t>3</w:t>
      </w:r>
      <w:r w:rsidRPr="00BE5F13">
        <w:t xml:space="preserve"> Investment Priority Table – Equipment (projected over 2-5 years)</w:t>
      </w:r>
      <w:r>
        <w:tab/>
      </w:r>
      <w:r>
        <w:tab/>
      </w:r>
    </w:p>
    <w:p w14:paraId="207A79F4" w14:textId="19A69A04" w:rsidR="006778FE" w:rsidRDefault="00D529D8" w:rsidP="00BE5F13">
      <w:r>
        <w:t>Table 24 Investment Priority Table – Ferry and Rescue Boats (projected over 2-5 years)</w:t>
      </w:r>
    </w:p>
    <w:p w14:paraId="3F4CB910" w14:textId="5A3AA74E" w:rsidR="00BE5F13" w:rsidRPr="00BE5F13" w:rsidRDefault="00BE5F13" w:rsidP="00BE5F13">
      <w:r>
        <w:tab/>
      </w:r>
    </w:p>
    <w:p w14:paraId="04B125F2" w14:textId="4A56F60F" w:rsidR="00BE5F13" w:rsidRDefault="006778FE" w:rsidP="00BE5F13">
      <w:r>
        <w:t>APPENDICES</w:t>
      </w:r>
      <w:r w:rsidR="005B73A7">
        <w:t xml:space="preserve"> – Separate Documents</w:t>
      </w:r>
    </w:p>
    <w:p w14:paraId="3AD9D765" w14:textId="522909D1" w:rsidR="006778FE" w:rsidRDefault="006778FE" w:rsidP="00BE5F13"/>
    <w:p w14:paraId="0B6A85C0" w14:textId="0697116A" w:rsidR="006778FE" w:rsidRDefault="006778FE" w:rsidP="00BE5F13">
      <w:r>
        <w:t>Appendix 1 Rolling Stock Inventory</w:t>
      </w:r>
    </w:p>
    <w:p w14:paraId="6C83C8E7" w14:textId="633C61D3" w:rsidR="006778FE" w:rsidRDefault="006778FE" w:rsidP="00BE5F13">
      <w:r>
        <w:t>Appendix 2 Facility Inventory by Subrecipient</w:t>
      </w:r>
    </w:p>
    <w:p w14:paraId="1E81C395" w14:textId="5D3D9133" w:rsidR="006778FE" w:rsidRPr="00BE5F13" w:rsidRDefault="006778FE" w:rsidP="00BE5F13">
      <w:r>
        <w:t xml:space="preserve">Appendix 3 Accountable Executive List </w:t>
      </w:r>
    </w:p>
    <w:p w14:paraId="30671B9D" w14:textId="77777777" w:rsidR="00BE5F13" w:rsidRPr="00BE5F13" w:rsidRDefault="00BE5F13" w:rsidP="00BE5F13"/>
    <w:p w14:paraId="364398A6" w14:textId="77777777" w:rsidR="008B6262" w:rsidRDefault="008B6262">
      <w:pPr>
        <w:sectPr w:rsidR="008B6262" w:rsidSect="00E537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bookmarkStart w:id="0" w:name="_Toc527365839"/>
    <w:p w14:paraId="073A9706" w14:textId="3ECA79DE" w:rsidR="009569A9" w:rsidRDefault="00757836" w:rsidP="00923417">
      <w:pPr>
        <w:pStyle w:val="Heading1"/>
      </w:pPr>
      <w:r w:rsidRPr="008B6262">
        <w:rPr>
          <w:noProof/>
        </w:rPr>
        <w:lastRenderedPageBreak/>
        <mc:AlternateContent>
          <mc:Choice Requires="wps">
            <w:drawing>
              <wp:anchor distT="0" distB="0" distL="114300" distR="114300" simplePos="0" relativeHeight="251672576" behindDoc="0" locked="0" layoutInCell="1" allowOverlap="1" wp14:anchorId="62BC38FF" wp14:editId="57AD344F">
                <wp:simplePos x="0" y="0"/>
                <wp:positionH relativeFrom="column">
                  <wp:posOffset>116205</wp:posOffset>
                </wp:positionH>
                <wp:positionV relativeFrom="paragraph">
                  <wp:posOffset>231140</wp:posOffset>
                </wp:positionV>
                <wp:extent cx="5967730" cy="0"/>
                <wp:effectExtent l="0" t="0" r="33020" b="1905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straightConnector1">
                          <a:avLst/>
                        </a:prstGeom>
                        <a:noFill/>
                        <a:ln w="9525">
                          <a:solidFill>
                            <a:srgbClr val="6C00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AD40822" id="_x0000_t32" coordsize="21600,21600" o:spt="32" o:oned="t" path="m,l21600,21600e" filled="f">
                <v:path arrowok="t" fillok="f" o:connecttype="none"/>
                <o:lock v:ext="edit" shapetype="t"/>
              </v:shapetype>
              <v:shape id="AutoShape 44" o:spid="_x0000_s1026" type="#_x0000_t32" style="position:absolute;margin-left:9.15pt;margin-top:18.2pt;width:469.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" strokecolor="#6c006c"/>
            </w:pict>
          </mc:Fallback>
        </mc:AlternateContent>
      </w:r>
      <w:r w:rsidR="00023DEB">
        <w:t>Introduction</w:t>
      </w:r>
      <w:bookmarkEnd w:id="0"/>
    </w:p>
    <w:p w14:paraId="55E5C6AA" w14:textId="2A9F0E6A" w:rsidR="008B6262" w:rsidRDefault="008B6262" w:rsidP="008F30B5"/>
    <w:p w14:paraId="7C83FD2B" w14:textId="34FB36C2" w:rsidR="008F30B5" w:rsidRDefault="008F30B5" w:rsidP="008F30B5">
      <w:r>
        <w:t>In 2016, the Federal Transit Admini</w:t>
      </w:r>
      <w:r w:rsidR="005C1FC1">
        <w:t>stration (FTA) published a rule, 49 CFR Part 625,</w:t>
      </w:r>
      <w:r>
        <w:t xml:space="preserve"> to require public transit providers that receive Federal transit assistance to undertake certain transit asset management activities. </w:t>
      </w:r>
      <w:r w:rsidR="00023DEB">
        <w:t xml:space="preserve">Transit asset management is the strategic and systematic practice of procuring, operating, inspecting, maintaining, rehabilitating, and replacing transit capital assets to manage their performance, risks, and costs over their life cycles, for the purpose of providing safe, cost-effective, and reliable public transportation. </w:t>
      </w:r>
      <w:r w:rsidR="00023DEB" w:rsidRPr="008F30B5">
        <w:t xml:space="preserve">Asset management is a cornerstone </w:t>
      </w:r>
      <w:r w:rsidR="00E319DB">
        <w:t>of</w:t>
      </w:r>
      <w:r w:rsidR="00023DEB" w:rsidRPr="008F30B5">
        <w:t xml:space="preserve"> effective performance management. By leveraging data to improve investment decision-making, asset management improves reliability, safety, cost management, and customer service.</w:t>
      </w:r>
    </w:p>
    <w:p w14:paraId="38F379B4" w14:textId="77777777" w:rsidR="00700000" w:rsidRPr="007E6F80" w:rsidRDefault="00700000" w:rsidP="00023DEB">
      <w:pPr>
        <w:pStyle w:val="Heading1"/>
        <w:rPr>
          <w:sz w:val="22"/>
          <w:szCs w:val="22"/>
        </w:rPr>
      </w:pPr>
      <w:bookmarkStart w:id="1" w:name="_Toc502858423"/>
    </w:p>
    <w:p w14:paraId="16C580C5" w14:textId="7496B969" w:rsidR="008F30B5" w:rsidRDefault="00E2392F" w:rsidP="00700000">
      <w:pPr>
        <w:pStyle w:val="Heading2"/>
      </w:pPr>
      <w:bookmarkStart w:id="2" w:name="_Toc527365840"/>
      <w:r>
        <w:t>Background</w:t>
      </w:r>
      <w:bookmarkEnd w:id="1"/>
      <w:bookmarkEnd w:id="2"/>
    </w:p>
    <w:p w14:paraId="53D5532F" w14:textId="77777777" w:rsidR="00757836" w:rsidRPr="00757836" w:rsidRDefault="00757836" w:rsidP="00757836"/>
    <w:p w14:paraId="2023FF92" w14:textId="507DFDA0" w:rsidR="00916032" w:rsidRDefault="00D739CB" w:rsidP="00B84D4E">
      <w:r>
        <w:t>Maintaining transit assets, such as rolling stock, infrastructure, equipment, and facilities, in a state of good repa</w:t>
      </w:r>
      <w:r w:rsidR="003074B3">
        <w:t xml:space="preserve">ir is essential to maintaining safety, ensuring system reliability, and reducing long-term maintenance costs. </w:t>
      </w:r>
      <w:r w:rsidR="00DA1617">
        <w:t xml:space="preserve">In its 2010 National State of Good Repair Assessment, FTA found that more than </w:t>
      </w:r>
      <w:r w:rsidR="007E6F80">
        <w:t xml:space="preserve">25% of rail transit assets </w:t>
      </w:r>
      <w:r w:rsidR="00DA1617">
        <w:t xml:space="preserve">and </w:t>
      </w:r>
      <w:r w:rsidR="007E6F80">
        <w:t xml:space="preserve">40% of bus assets </w:t>
      </w:r>
      <w:r w:rsidR="00DA1617">
        <w:t>were in marginal or poor condition. There is an estimated backlog of $50–$80 billion in deferred maintenance and replacement needs</w:t>
      </w:r>
      <w:r w:rsidR="00A05370">
        <w:t>—</w:t>
      </w:r>
      <w:r w:rsidR="005025E0">
        <w:t>a backlog that continues to grow</w:t>
      </w:r>
      <w:r w:rsidR="00DA1617">
        <w:t>. Transit agency customers, policymakers, and public agencies hold agency management accountable for performance and increasingly expect more business-like management practices. The magnitude of these capital needs, performance expectations, and increased accountability requires agency managers and accountable executives to become better asset managers.</w:t>
      </w:r>
    </w:p>
    <w:p w14:paraId="39E50492" w14:textId="77777777" w:rsidR="00757836" w:rsidRDefault="00757836" w:rsidP="00B84D4E"/>
    <w:p w14:paraId="7ED99FFD" w14:textId="79D7FD46" w:rsidR="003074B3" w:rsidRDefault="00741787" w:rsidP="00983CCA">
      <w:r>
        <w:t>In 2012, Congress passed t</w:t>
      </w:r>
      <w:r w:rsidRPr="00741787">
        <w:t>he Moving Ahead for P</w:t>
      </w:r>
      <w:r>
        <w:t xml:space="preserve">rogress in the 21st Century Act (MAP-21) that </w:t>
      </w:r>
      <w:r w:rsidR="003074B3" w:rsidRPr="003074B3">
        <w:t xml:space="preserve">required the establishment of a National Transit Asset Management (TAM) System </w:t>
      </w:r>
      <w:r w:rsidR="003074B3">
        <w:t>that would include</w:t>
      </w:r>
      <w:r w:rsidR="003074B3" w:rsidRPr="003074B3">
        <w:t xml:space="preserve"> a definition of “state of good repair;” requirements that recipients and subrecipients of </w:t>
      </w:r>
      <w:r w:rsidR="00596F27">
        <w:t>F</w:t>
      </w:r>
      <w:r w:rsidR="003074B3" w:rsidRPr="003074B3">
        <w:t xml:space="preserve">ederal transit funding develop </w:t>
      </w:r>
      <w:r w:rsidR="003074B3">
        <w:t>transit asset management</w:t>
      </w:r>
      <w:r w:rsidR="003074B3" w:rsidRPr="003074B3">
        <w:t xml:space="preserve"> plans; state of good repair performance measure and reporting requirements; </w:t>
      </w:r>
      <w:r w:rsidR="00620860">
        <w:t>and annual reporting requirements.</w:t>
      </w:r>
      <w:r w:rsidR="00BA7FF6">
        <w:t xml:space="preserve">  This rule was continued under the Bipartisan Infrastructure Law, without change, signed into law by President Biden in 2021.</w:t>
      </w:r>
    </w:p>
    <w:p w14:paraId="258ACA2B" w14:textId="77777777" w:rsidR="00700000" w:rsidRDefault="00700000" w:rsidP="00B84D4E"/>
    <w:p w14:paraId="424C8EC3" w14:textId="5FB07ABF" w:rsidR="00C34A57" w:rsidRDefault="005B0E18" w:rsidP="00B84D4E">
      <w:r>
        <w:t xml:space="preserve">To </w:t>
      </w:r>
      <w:r w:rsidR="00620860">
        <w:t>ensure compliance with the requirements of MAP-21</w:t>
      </w:r>
      <w:r>
        <w:t xml:space="preserve">, FTA </w:t>
      </w:r>
      <w:r w:rsidR="005025E0">
        <w:t xml:space="preserve">published a final rule on </w:t>
      </w:r>
      <w:r w:rsidR="00620860">
        <w:t xml:space="preserve">TAM </w:t>
      </w:r>
      <w:r w:rsidR="005025E0">
        <w:t>planning requirements on July 26, 2016. The final rule included</w:t>
      </w:r>
      <w:r>
        <w:t xml:space="preserve"> a transit-specific asset management framework for managing assets individually and as a portfolio of assets that comprise an integrated system. Within that framework, </w:t>
      </w:r>
      <w:r w:rsidR="00C34A57">
        <w:t>FTA has identified three potential roles in transit asset management planning:</w:t>
      </w:r>
    </w:p>
    <w:p w14:paraId="587A993A" w14:textId="77777777" w:rsidR="00700000" w:rsidRDefault="00700000" w:rsidP="00B84D4E"/>
    <w:p w14:paraId="5EF72FF7" w14:textId="264A2FE0" w:rsidR="00C34A57" w:rsidRDefault="00C34A57" w:rsidP="005B0E18">
      <w:pPr>
        <w:ind w:left="720"/>
      </w:pPr>
      <w:r>
        <w:rPr>
          <w:b/>
          <w:i/>
        </w:rPr>
        <w:t xml:space="preserve">Tier I Provider </w:t>
      </w:r>
      <w:r w:rsidR="00FE2B12">
        <w:t xml:space="preserve">is a recipient that owns, operates, or manages </w:t>
      </w:r>
      <w:r w:rsidR="00FE2B12" w:rsidRPr="00FE2B12">
        <w:t>either (1) one hundred and one (101) or more vehicles in revenue service during peak regular service across all fixed route modes or in any one non-fixed route mode, or (2) rail transit.</w:t>
      </w:r>
      <w:r>
        <w:t xml:space="preserve"> Tier I providers must develop their own, individual TAM plan.</w:t>
      </w:r>
    </w:p>
    <w:p w14:paraId="2A56288A" w14:textId="4D4C8C8B" w:rsidR="00FE2B12" w:rsidRDefault="00C34A57" w:rsidP="005B0E18">
      <w:pPr>
        <w:ind w:left="720"/>
      </w:pPr>
      <w:r>
        <w:rPr>
          <w:b/>
          <w:i/>
        </w:rPr>
        <w:t xml:space="preserve">Tier II Provider </w:t>
      </w:r>
      <w:r w:rsidR="00FE2B12">
        <w:t xml:space="preserve">is </w:t>
      </w:r>
      <w:r w:rsidR="00FE2B12" w:rsidRPr="00FE2B12">
        <w:t xml:space="preserve">a recipient that owns, operates, or manages (1) one hundred (100) or fewer vehicles in revenue service during peak regular service across all non-rail fixed route modes or in any one non-fixed route mode, (2) a subrecipient under the 5311 Rural Area </w:t>
      </w:r>
      <w:r w:rsidR="00FE2B12" w:rsidRPr="00FE2B12">
        <w:lastRenderedPageBreak/>
        <w:t>Formula Program, (3) or any American Indian tribe.</w:t>
      </w:r>
      <w:r w:rsidR="00FE2B12">
        <w:t xml:space="preserve"> Tier II providers can develop their own individual TAM plan or can be included in a group plan developed by a sponsor agency.</w:t>
      </w:r>
    </w:p>
    <w:p w14:paraId="16519D31" w14:textId="17CEBE6C" w:rsidR="00C34A57" w:rsidRDefault="00FE2B12" w:rsidP="005B0E18">
      <w:pPr>
        <w:ind w:left="720"/>
      </w:pPr>
      <w:r>
        <w:rPr>
          <w:b/>
          <w:i/>
        </w:rPr>
        <w:t>Sponsor Agency</w:t>
      </w:r>
      <w:r>
        <w:rPr>
          <w:i/>
        </w:rPr>
        <w:t xml:space="preserve"> </w:t>
      </w:r>
      <w:r>
        <w:t xml:space="preserve">is a </w:t>
      </w:r>
      <w:r w:rsidR="008D2FC5">
        <w:t>s</w:t>
      </w:r>
      <w:r w:rsidRPr="00FE2B12">
        <w:t xml:space="preserve">tate, a designated recipient, or a direct recipient that develops a group TAM for at least one </w:t>
      </w:r>
      <w:r w:rsidR="008D2FC5">
        <w:t>T</w:t>
      </w:r>
      <w:r w:rsidRPr="00FE2B12">
        <w:t>ier II provider.</w:t>
      </w:r>
    </w:p>
    <w:p w14:paraId="72553C74" w14:textId="77777777" w:rsidR="00700000" w:rsidRDefault="00700000" w:rsidP="00700000"/>
    <w:p w14:paraId="217A2801" w14:textId="77777777" w:rsidR="005B0E18" w:rsidRDefault="005B0E18" w:rsidP="00700000">
      <w:r>
        <w:t>Asset management processes are ongoing and involve evaluating and managing the relationships between costs, risks, and performance over the asset’s lifecycle. The transit asset management framework has three categories of business processes:</w:t>
      </w:r>
    </w:p>
    <w:p w14:paraId="34662047" w14:textId="77777777" w:rsidR="00700000" w:rsidRDefault="00700000" w:rsidP="005B0E18"/>
    <w:p w14:paraId="665D6639" w14:textId="6A258F83" w:rsidR="005B0E18" w:rsidRPr="00700000" w:rsidRDefault="005B0E18" w:rsidP="00A20AB5">
      <w:pPr>
        <w:pStyle w:val="Subtitle"/>
      </w:pPr>
      <w:r w:rsidRPr="00700000">
        <w:t>Asset Management Vision and Direction – agency-wide processes that establish the organization-wide asset management policy and strategy and drive resource allocation</w:t>
      </w:r>
      <w:r w:rsidR="008D2FC5">
        <w:t>.</w:t>
      </w:r>
    </w:p>
    <w:p w14:paraId="28278637" w14:textId="3DFF7373" w:rsidR="005B0E18" w:rsidRPr="00700000" w:rsidRDefault="005B0E18" w:rsidP="00700000">
      <w:pPr>
        <w:pStyle w:val="Subtitle"/>
      </w:pPr>
      <w:r w:rsidRPr="00700000">
        <w:t>Lifecycle Management – the processes involved in the lifecycle management of individual asset classes; these include managing the data (inventory), monitoring the assets’ condition and performance, and developing lifecycle management plans</w:t>
      </w:r>
      <w:r w:rsidR="008D2FC5">
        <w:t>.</w:t>
      </w:r>
    </w:p>
    <w:p w14:paraId="0F54C48D" w14:textId="0BFCDAF9" w:rsidR="005B0E18" w:rsidRPr="00700000" w:rsidRDefault="005B0E18" w:rsidP="00700000">
      <w:pPr>
        <w:pStyle w:val="Subtitle"/>
      </w:pPr>
      <w:r w:rsidRPr="00700000">
        <w:t>Cross-Asset Planning and Management – agency-wide processes that consider information from all asset classes to support the capital programming and operations and maintenance budgeting process</w:t>
      </w:r>
      <w:r w:rsidR="008D2FC5">
        <w:t>.</w:t>
      </w:r>
    </w:p>
    <w:p w14:paraId="567B3F02" w14:textId="77777777" w:rsidR="00700000" w:rsidRDefault="00700000" w:rsidP="00B84D4E"/>
    <w:p w14:paraId="06DF83F3" w14:textId="716BF465" w:rsidR="0025437A" w:rsidRDefault="005B0E18" w:rsidP="00700000">
      <w:r>
        <w:t xml:space="preserve">The fundamental concepts of asset management are straightforward; however, implementing the changes </w:t>
      </w:r>
      <w:r w:rsidR="008D2FC5">
        <w:t xml:space="preserve">necessary </w:t>
      </w:r>
      <w:r>
        <w:t xml:space="preserve">to become a mature asset management organization requires careful planning and execution. In recognition of the potential administrative and planning burden facing small participating organizations, </w:t>
      </w:r>
      <w:r w:rsidR="0025437A" w:rsidRPr="00FE2B12">
        <w:t xml:space="preserve">FTA </w:t>
      </w:r>
      <w:r w:rsidR="0025437A">
        <w:t>established new guidelines and planning requirements for State Departments of Transportation.</w:t>
      </w:r>
    </w:p>
    <w:p w14:paraId="512D1BFF" w14:textId="77777777" w:rsidR="00700000" w:rsidRDefault="00700000" w:rsidP="00700000"/>
    <w:p w14:paraId="4C1D18B3" w14:textId="6F0F28DD" w:rsidR="005025E0" w:rsidRDefault="0025437A" w:rsidP="00700000">
      <w:r>
        <w:t xml:space="preserve">Specifically, </w:t>
      </w:r>
      <w:bookmarkStart w:id="3" w:name="_Hlk527363688"/>
      <w:r w:rsidR="005862BD">
        <w:t>§</w:t>
      </w:r>
      <w:bookmarkEnd w:id="3"/>
      <w:r w:rsidR="00B84D4E">
        <w:t xml:space="preserve">625.27 requires </w:t>
      </w:r>
      <w:r w:rsidR="005B0E18">
        <w:t xml:space="preserve">that </w:t>
      </w:r>
      <w:r w:rsidR="00894140">
        <w:t>s</w:t>
      </w:r>
      <w:r w:rsidR="00B84D4E">
        <w:t>tates</w:t>
      </w:r>
      <w:r w:rsidR="005B0E18">
        <w:t>, acting as sponsors,</w:t>
      </w:r>
      <w:r w:rsidR="00B84D4E">
        <w:t xml:space="preserve"> develop a group TAM plan for all subrecipients under the Rural Area Formula Program</w:t>
      </w:r>
      <w:r w:rsidR="005B0E18">
        <w:t xml:space="preserve"> (Section 5311)</w:t>
      </w:r>
      <w:r w:rsidR="00B84D4E">
        <w:t xml:space="preserve">, including American Indian tribes. </w:t>
      </w:r>
      <w:r w:rsidR="005025E0">
        <w:t>The sponsor is responsible for setting unified targets for the plan participants and shar</w:t>
      </w:r>
      <w:r w:rsidR="00051040">
        <w:t>ing</w:t>
      </w:r>
      <w:r w:rsidR="005025E0">
        <w:t xml:space="preserve"> that information with </w:t>
      </w:r>
      <w:r w:rsidR="00051040">
        <w:t>Metropolitan Planning Organizations (</w:t>
      </w:r>
      <w:r w:rsidR="005025E0">
        <w:t>MPOs</w:t>
      </w:r>
      <w:r w:rsidR="00051040">
        <w:t>)</w:t>
      </w:r>
      <w:r w:rsidR="005025E0">
        <w:t xml:space="preserve"> that house their participating providers.</w:t>
      </w:r>
    </w:p>
    <w:p w14:paraId="4A97F188" w14:textId="77777777" w:rsidR="00700000" w:rsidRDefault="00700000" w:rsidP="00700000"/>
    <w:p w14:paraId="6CB1C1FA" w14:textId="58D6E1C9" w:rsidR="00343B61" w:rsidRDefault="003F03ED" w:rsidP="00700000">
      <w:r>
        <w:t xml:space="preserve">The </w:t>
      </w:r>
      <w:r w:rsidR="00971D09">
        <w:t>Maine</w:t>
      </w:r>
      <w:r w:rsidR="008639D9">
        <w:t xml:space="preserve"> g</w:t>
      </w:r>
      <w:r>
        <w:t xml:space="preserve">roup plan will include all </w:t>
      </w:r>
      <w:r w:rsidR="00B23B2A">
        <w:t>T</w:t>
      </w:r>
      <w:r w:rsidR="005862BD">
        <w:t>ier II</w:t>
      </w:r>
      <w:r w:rsidR="00B84D4E">
        <w:t xml:space="preserve"> provider subrecipients, except those subrecipients that also are direct recipients under the Urbanized Area Formula Program authorized </w:t>
      </w:r>
      <w:r w:rsidR="00051040">
        <w:t xml:space="preserve">under </w:t>
      </w:r>
      <w:r w:rsidR="00B84D4E">
        <w:t xml:space="preserve">49 U.S.C. 5307. </w:t>
      </w:r>
      <w:r w:rsidR="00343B61">
        <w:t>Tier II providers may only participate in one group plan and must provide written notification to</w:t>
      </w:r>
      <w:r w:rsidR="008639D9">
        <w:t xml:space="preserve"> </w:t>
      </w:r>
      <w:r w:rsidR="00971D09">
        <w:t>Maine</w:t>
      </w:r>
      <w:r w:rsidR="008639D9">
        <w:t xml:space="preserve"> </w:t>
      </w:r>
      <w:r w:rsidR="002D25D9">
        <w:t>Department of Transportation (</w:t>
      </w:r>
      <w:r w:rsidR="00523159">
        <w:t>Maine</w:t>
      </w:r>
      <w:r w:rsidR="009A4675">
        <w:t>DOT</w:t>
      </w:r>
      <w:r w:rsidR="002D25D9">
        <w:t xml:space="preserve">) </w:t>
      </w:r>
      <w:r w:rsidR="00343B61">
        <w:t>if they choose to opt-out and develop their own plan. Participants must also provide</w:t>
      </w:r>
      <w:r w:rsidR="008639D9">
        <w:t xml:space="preserve"> </w:t>
      </w:r>
      <w:r w:rsidR="00523159">
        <w:t>Maine</w:t>
      </w:r>
      <w:r w:rsidR="009A4675">
        <w:t>DOT</w:t>
      </w:r>
      <w:r w:rsidR="008639D9">
        <w:t xml:space="preserve"> </w:t>
      </w:r>
      <w:r w:rsidR="00343B61">
        <w:t>with any information necessary and relevant to completing the original plan and any future revisions.</w:t>
      </w:r>
    </w:p>
    <w:p w14:paraId="7AE6974D" w14:textId="77777777" w:rsidR="00700000" w:rsidRDefault="00700000" w:rsidP="00700000">
      <w:bookmarkStart w:id="4" w:name="_Toc502858424"/>
    </w:p>
    <w:p w14:paraId="70579165" w14:textId="7D499FBD" w:rsidR="00263AF8" w:rsidRDefault="00263AF8" w:rsidP="00700000">
      <w:pPr>
        <w:pStyle w:val="Heading2"/>
      </w:pPr>
      <w:bookmarkStart w:id="5" w:name="_Toc527365841"/>
      <w:r>
        <w:t>Transit Asset Management Plan Requirements</w:t>
      </w:r>
      <w:bookmarkEnd w:id="4"/>
      <w:bookmarkEnd w:id="5"/>
    </w:p>
    <w:p w14:paraId="75E7CA46" w14:textId="77777777" w:rsidR="00700000" w:rsidRPr="00700000" w:rsidRDefault="00700000" w:rsidP="00700000"/>
    <w:p w14:paraId="2772E1B5" w14:textId="096DD086" w:rsidR="00263AF8" w:rsidRDefault="00971D09" w:rsidP="00B84D4E">
      <w:r>
        <w:t>Maine</w:t>
      </w:r>
      <w:r w:rsidR="009A4675">
        <w:t>DOT</w:t>
      </w:r>
      <w:r w:rsidR="008639D9">
        <w:t xml:space="preserve"> </w:t>
      </w:r>
      <w:r w:rsidR="001E3F2E">
        <w:t xml:space="preserve">has developed this </w:t>
      </w:r>
      <w:r>
        <w:t>Maine</w:t>
      </w:r>
      <w:r w:rsidR="008639D9">
        <w:t xml:space="preserve"> Statewide Tier II Transit Asset Management Plan</w:t>
      </w:r>
      <w:r w:rsidR="001E3F2E">
        <w:t xml:space="preserve"> </w:t>
      </w:r>
      <w:r w:rsidR="00343B61">
        <w:t>in accordance with the guidelines established by the FTA. Specifically, §625.25 requires that all TAM plans must include:</w:t>
      </w:r>
    </w:p>
    <w:p w14:paraId="7B474D58" w14:textId="77777777" w:rsidR="00700000" w:rsidRDefault="00700000" w:rsidP="00B84D4E"/>
    <w:p w14:paraId="1D2F4CE4" w14:textId="211599E1" w:rsidR="00F66A6D" w:rsidRDefault="00FD126F" w:rsidP="00700000">
      <w:pPr>
        <w:pStyle w:val="Subtitle"/>
        <w:numPr>
          <w:ilvl w:val="0"/>
          <w:numId w:val="7"/>
        </w:numPr>
      </w:pPr>
      <w:r w:rsidRPr="00236C7F">
        <w:t>An inventory of the number and type of capital assets</w:t>
      </w:r>
      <w:r w:rsidR="00F66A6D">
        <w:t xml:space="preserve"> </w:t>
      </w:r>
      <w:r w:rsidR="00924C45">
        <w:t>(</w:t>
      </w:r>
      <w:r w:rsidR="00BA7FF6">
        <w:t>see Appendices</w:t>
      </w:r>
      <w:r w:rsidR="00924C45">
        <w:t>)</w:t>
      </w:r>
      <w:r w:rsidR="0038728D">
        <w:t>.</w:t>
      </w:r>
      <w:r w:rsidR="00924C45">
        <w:t xml:space="preserve"> </w:t>
      </w:r>
      <w:r w:rsidR="00F66A6D" w:rsidRPr="00F66A6D">
        <w:t xml:space="preserve">The inventory must include all capital assets that </w:t>
      </w:r>
      <w:r w:rsidR="00F66A6D">
        <w:t>the</w:t>
      </w:r>
      <w:r w:rsidR="00F66A6D" w:rsidRPr="00F66A6D">
        <w:t xml:space="preserve"> provider owns, except equipment with an acquisition </w:t>
      </w:r>
      <w:r w:rsidR="00F66A6D" w:rsidRPr="00F66A6D">
        <w:lastRenderedPageBreak/>
        <w:t xml:space="preserve">value under $50,000 that is not a service vehicle. </w:t>
      </w:r>
      <w:r w:rsidR="00F66A6D">
        <w:t xml:space="preserve">The </w:t>
      </w:r>
      <w:r w:rsidR="00F66A6D" w:rsidRPr="00F66A6D">
        <w:t>inventory also must include third-party owned or jointly procured exclusive-use maintenance facilities, passenger station facilities, administrative facilities, rolling stock, and guideway infrastructure used by a provider in the provision of public transportation. The asset inventory must be organized at a level of detail commensurate with the level of detail in the provide</w:t>
      </w:r>
      <w:r w:rsidR="00F66A6D">
        <w:t>r's program of capital projects.</w:t>
      </w:r>
    </w:p>
    <w:p w14:paraId="78BF3A9A" w14:textId="54BD03F6" w:rsidR="00F66A6D" w:rsidRDefault="00F66A6D" w:rsidP="00700000">
      <w:pPr>
        <w:pStyle w:val="Subtitle"/>
      </w:pPr>
      <w:r w:rsidRPr="00236C7F">
        <w:t>A condition assessment of those inventoried assets for which a provider has di</w:t>
      </w:r>
      <w:r w:rsidR="00700000">
        <w:t xml:space="preserve">rect capital </w:t>
      </w:r>
      <w:r w:rsidRPr="00236C7F">
        <w:t>responsibility</w:t>
      </w:r>
      <w:r>
        <w:t xml:space="preserve"> </w:t>
      </w:r>
      <w:r w:rsidR="00236C7F">
        <w:t>(</w:t>
      </w:r>
      <w:r w:rsidR="00BA7FF6">
        <w:t>see Appendices</w:t>
      </w:r>
      <w:r w:rsidR="00236C7F">
        <w:t>)</w:t>
      </w:r>
      <w:r w:rsidR="0038728D">
        <w:t>.</w:t>
      </w:r>
      <w:r w:rsidR="00236C7F">
        <w:t xml:space="preserve"> </w:t>
      </w:r>
      <w:r>
        <w:t>A condition assessment must generate information in a level of detail sufficient to monitor and predict the performance of the assets and to inform the investment prioritization.</w:t>
      </w:r>
    </w:p>
    <w:p w14:paraId="045D624E" w14:textId="09543324" w:rsidR="00F66A6D" w:rsidRPr="00236C7F" w:rsidRDefault="00F66A6D" w:rsidP="00700000">
      <w:pPr>
        <w:pStyle w:val="Subtitle"/>
      </w:pPr>
      <w:r w:rsidRPr="00236C7F">
        <w:t xml:space="preserve">A description of analytical processes or decision-support tools </w:t>
      </w:r>
      <w:r w:rsidR="00544494">
        <w:t xml:space="preserve">used </w:t>
      </w:r>
      <w:r w:rsidRPr="00236C7F">
        <w:t>to estimate capital investment needs over time.</w:t>
      </w:r>
      <w:r w:rsidR="00745509">
        <w:t xml:space="preserve"> </w:t>
      </w:r>
    </w:p>
    <w:p w14:paraId="78638376" w14:textId="7E3AAB8A" w:rsidR="00F66A6D" w:rsidRPr="00236C7F" w:rsidRDefault="00F66A6D" w:rsidP="00700000">
      <w:pPr>
        <w:pStyle w:val="Subtitle"/>
      </w:pPr>
      <w:r w:rsidRPr="00236C7F">
        <w:t>A project-based prioritization of investments</w:t>
      </w:r>
      <w:r w:rsidR="00236C7F" w:rsidRPr="00236C7F">
        <w:t>.</w:t>
      </w:r>
      <w:r w:rsidR="00745509">
        <w:t xml:space="preserve"> </w:t>
      </w:r>
    </w:p>
    <w:p w14:paraId="03789E93" w14:textId="77777777" w:rsidR="00700000" w:rsidRDefault="00700000" w:rsidP="00745509"/>
    <w:p w14:paraId="09060E75" w14:textId="5B036FCA" w:rsidR="00745509" w:rsidRDefault="00745509" w:rsidP="00745509">
      <w:r>
        <w:t>In addition to required elements</w:t>
      </w:r>
      <w:r w:rsidR="00FC6BF3">
        <w:t xml:space="preserve"> noted above</w:t>
      </w:r>
      <w:r>
        <w:t>, group plan sponsors, such as</w:t>
      </w:r>
      <w:r w:rsidR="008639D9">
        <w:t xml:space="preserve"> </w:t>
      </w:r>
      <w:r w:rsidR="00971D09">
        <w:t>Maine</w:t>
      </w:r>
      <w:r w:rsidR="0038728D">
        <w:t>,</w:t>
      </w:r>
      <w:r w:rsidR="008639D9">
        <w:t xml:space="preserve"> </w:t>
      </w:r>
      <w:r>
        <w:t>must ensure the following:</w:t>
      </w:r>
    </w:p>
    <w:p w14:paraId="4568123B" w14:textId="77777777" w:rsidR="00700000" w:rsidRDefault="00700000" w:rsidP="00745509"/>
    <w:p w14:paraId="566F44B1" w14:textId="6F3517F2" w:rsidR="00745509" w:rsidRDefault="00277E9C" w:rsidP="00700000">
      <w:pPr>
        <w:pStyle w:val="Subtitle"/>
        <w:numPr>
          <w:ilvl w:val="0"/>
          <w:numId w:val="8"/>
        </w:numPr>
      </w:pPr>
      <w:r>
        <w:t xml:space="preserve">The plan development is coordinated with </w:t>
      </w:r>
      <w:r w:rsidR="00745509">
        <w:t>each Tier II provider’s Accountable Executive</w:t>
      </w:r>
      <w:r>
        <w:t>.</w:t>
      </w:r>
    </w:p>
    <w:p w14:paraId="72F2D250" w14:textId="6F7B03B8" w:rsidR="00745509" w:rsidRDefault="00745509" w:rsidP="00700000">
      <w:pPr>
        <w:pStyle w:val="Subtitle"/>
      </w:pPr>
      <w:r>
        <w:t>The completed group plan is made available to all participants in a</w:t>
      </w:r>
      <w:r w:rsidR="00277E9C">
        <w:t>n easily accessible</w:t>
      </w:r>
      <w:r>
        <w:t xml:space="preserve"> f</w:t>
      </w:r>
      <w:r w:rsidR="00C34A57">
        <w:t>ormat.</w:t>
      </w:r>
    </w:p>
    <w:p w14:paraId="77A05390" w14:textId="77777777" w:rsidR="00700000" w:rsidRPr="007E6F80" w:rsidRDefault="00700000" w:rsidP="00736E69">
      <w:pPr>
        <w:pStyle w:val="Heading1"/>
        <w:rPr>
          <w:sz w:val="22"/>
          <w:szCs w:val="22"/>
        </w:rPr>
      </w:pPr>
      <w:bookmarkStart w:id="6" w:name="_Toc502858425"/>
    </w:p>
    <w:p w14:paraId="755DFDD9" w14:textId="0A969943" w:rsidR="00C51B85" w:rsidRDefault="00C51B85" w:rsidP="00700000">
      <w:pPr>
        <w:pStyle w:val="Heading2"/>
      </w:pPr>
      <w:bookmarkStart w:id="7" w:name="_Toc527365842"/>
      <w:r>
        <w:t>Definitions</w:t>
      </w:r>
      <w:bookmarkEnd w:id="6"/>
      <w:bookmarkEnd w:id="7"/>
    </w:p>
    <w:p w14:paraId="5CB2B705" w14:textId="77777777" w:rsidR="00700000" w:rsidRPr="00700000" w:rsidRDefault="00700000" w:rsidP="00364FAD"/>
    <w:p w14:paraId="1ADB4E1F" w14:textId="134AED0B" w:rsidR="00736E69" w:rsidRDefault="00736E69" w:rsidP="00736E69">
      <w:r w:rsidRPr="00736E69">
        <w:rPr>
          <w:i/>
          <w:iCs/>
        </w:rPr>
        <w:t>Accountable Executive</w:t>
      </w:r>
      <w:r w:rsidR="00425903">
        <w:t xml:space="preserve"> - A</w:t>
      </w:r>
      <w:r w:rsidRPr="00736E69">
        <w:t xml:space="preserve"> single, identifiable person who has ultimate responsibility for carrying out the safety management system of a public transportation agency; responsibility for carrying out transit asset management practices; and control or direction over the human and capital resources needed to develop and maintain both the agency's public transportation agency safety plan, in accordance with 49 U.S.C. 5329(d), and the agency's transit asset management plan in accordance with 49 U.S.C. 5326.</w:t>
      </w:r>
    </w:p>
    <w:p w14:paraId="4F241075" w14:textId="77777777" w:rsidR="00700000" w:rsidRPr="00736E69" w:rsidRDefault="00700000" w:rsidP="00736E69"/>
    <w:p w14:paraId="6A50C1C4" w14:textId="2293B009" w:rsidR="00736E69" w:rsidRDefault="00736E69" w:rsidP="00736E69">
      <w:r w:rsidRPr="00736E69">
        <w:rPr>
          <w:i/>
          <w:iCs/>
        </w:rPr>
        <w:t>Asset category</w:t>
      </w:r>
      <w:r w:rsidR="00425903">
        <w:t xml:space="preserve"> - A</w:t>
      </w:r>
      <w:r w:rsidRPr="00736E69">
        <w:t xml:space="preserve"> grouping of asset classes, including a grouping of equipment, rolling stock, infrastructure, and facilities. See Appendix </w:t>
      </w:r>
      <w:r w:rsidR="00A20AB5">
        <w:t>1</w:t>
      </w:r>
      <w:r w:rsidRPr="00736E69">
        <w:t>.</w:t>
      </w:r>
    </w:p>
    <w:p w14:paraId="1F93F12B" w14:textId="77777777" w:rsidR="008229B9" w:rsidRPr="00736E69" w:rsidRDefault="008229B9" w:rsidP="00736E69"/>
    <w:p w14:paraId="3726797C" w14:textId="27F097CA" w:rsidR="00736E69" w:rsidRDefault="00736E69" w:rsidP="00736E69">
      <w:r w:rsidRPr="00736E69">
        <w:rPr>
          <w:i/>
          <w:iCs/>
        </w:rPr>
        <w:t>Asset class</w:t>
      </w:r>
      <w:r w:rsidRPr="00736E69">
        <w:t xml:space="preserve"> </w:t>
      </w:r>
      <w:r w:rsidR="00425903">
        <w:t>-</w:t>
      </w:r>
      <w:r w:rsidRPr="00736E69">
        <w:t xml:space="preserve"> </w:t>
      </w:r>
      <w:r w:rsidR="00425903">
        <w:t>A</w:t>
      </w:r>
      <w:r w:rsidRPr="00736E69">
        <w:t xml:space="preserve"> subgroup of capital assets within an asset category. For example, buses, trolleys, and cutaway vans are all asset classes within the rolling stock asset category. See Appendix </w:t>
      </w:r>
      <w:r w:rsidR="00A20AB5">
        <w:t>1</w:t>
      </w:r>
      <w:r w:rsidR="00A20AB5" w:rsidRPr="00736E69">
        <w:t xml:space="preserve"> </w:t>
      </w:r>
      <w:r w:rsidRPr="00736E69">
        <w:t>to this part.</w:t>
      </w:r>
    </w:p>
    <w:p w14:paraId="359849F2" w14:textId="77777777" w:rsidR="00700000" w:rsidRPr="00736E69" w:rsidRDefault="00700000" w:rsidP="00736E69"/>
    <w:p w14:paraId="5A0F587F" w14:textId="42F363E5" w:rsidR="00736E69" w:rsidRDefault="00736E69" w:rsidP="00736E69">
      <w:r w:rsidRPr="00736E69">
        <w:rPr>
          <w:i/>
          <w:iCs/>
        </w:rPr>
        <w:t>Asset inventory</w:t>
      </w:r>
      <w:r w:rsidRPr="00736E69">
        <w:t xml:space="preserve"> </w:t>
      </w:r>
      <w:r w:rsidR="00425903">
        <w:t>-</w:t>
      </w:r>
      <w:r w:rsidRPr="00736E69">
        <w:t xml:space="preserve"> </w:t>
      </w:r>
      <w:r w:rsidR="00425903">
        <w:t>A</w:t>
      </w:r>
      <w:r w:rsidRPr="00736E69">
        <w:t xml:space="preserve"> register of capital assets and information about those assets.</w:t>
      </w:r>
    </w:p>
    <w:p w14:paraId="2E59A2E8" w14:textId="77777777" w:rsidR="00700000" w:rsidRPr="00736E69" w:rsidRDefault="00700000" w:rsidP="00736E69"/>
    <w:p w14:paraId="19C2E0CC" w14:textId="0E4C0F14" w:rsidR="00736E69" w:rsidRDefault="00736E69" w:rsidP="00736E69">
      <w:r w:rsidRPr="00736E69">
        <w:rPr>
          <w:i/>
          <w:iCs/>
        </w:rPr>
        <w:t>Capital asset</w:t>
      </w:r>
      <w:r w:rsidRPr="00736E69">
        <w:t xml:space="preserve"> </w:t>
      </w:r>
      <w:r w:rsidR="00425903">
        <w:t>- A</w:t>
      </w:r>
      <w:r w:rsidRPr="00736E69">
        <w:t xml:space="preserve"> unit of rolling stock, a facility, a unit of equipment, or an element of infrastructure used for providing public transportation.</w:t>
      </w:r>
    </w:p>
    <w:p w14:paraId="7CBFD1C6" w14:textId="77777777" w:rsidR="00700000" w:rsidRPr="00736E69" w:rsidRDefault="00700000" w:rsidP="00736E69"/>
    <w:p w14:paraId="6436B1B9" w14:textId="16EB1F4D" w:rsidR="00736E69" w:rsidRPr="00736E69" w:rsidRDefault="00736E69" w:rsidP="00736E69">
      <w:r w:rsidRPr="00736E69">
        <w:rPr>
          <w:i/>
          <w:iCs/>
        </w:rPr>
        <w:t>Decision support tool</w:t>
      </w:r>
      <w:r w:rsidRPr="00736E69">
        <w:t xml:space="preserve"> </w:t>
      </w:r>
      <w:r w:rsidR="00425903">
        <w:t>- A</w:t>
      </w:r>
      <w:r w:rsidRPr="00736E69">
        <w:t>n analytic process or methodology:</w:t>
      </w:r>
    </w:p>
    <w:p w14:paraId="214CE837" w14:textId="77777777" w:rsidR="00736E69" w:rsidRPr="00736E69" w:rsidRDefault="00736E69" w:rsidP="00736E69">
      <w:pPr>
        <w:ind w:left="720"/>
      </w:pPr>
      <w:r w:rsidRPr="00736E69">
        <w:lastRenderedPageBreak/>
        <w:t>(1) To help prioritize projects to improve and maintain the state of good repair of capital assets within a public transportation system, based on available condition data and objective criteria; or</w:t>
      </w:r>
    </w:p>
    <w:p w14:paraId="1E754FF0" w14:textId="77777777" w:rsidR="00736E69" w:rsidRPr="00736E69" w:rsidRDefault="00736E69" w:rsidP="00736E69">
      <w:pPr>
        <w:ind w:left="720"/>
      </w:pPr>
      <w:r w:rsidRPr="00736E69">
        <w:t>(2) To assess financial needs for asset investments over time.</w:t>
      </w:r>
    </w:p>
    <w:p w14:paraId="65DF8426" w14:textId="77777777" w:rsidR="00700000" w:rsidRDefault="00700000" w:rsidP="00736E69">
      <w:pPr>
        <w:rPr>
          <w:i/>
          <w:iCs/>
        </w:rPr>
      </w:pPr>
    </w:p>
    <w:p w14:paraId="15886862" w14:textId="551C86D1" w:rsidR="00736E69" w:rsidRPr="00736E69" w:rsidRDefault="00736E69" w:rsidP="00736E69">
      <w:r w:rsidRPr="00736E69">
        <w:rPr>
          <w:i/>
          <w:iCs/>
        </w:rPr>
        <w:t>Direct recipient</w:t>
      </w:r>
      <w:r w:rsidRPr="00736E69">
        <w:t xml:space="preserve"> </w:t>
      </w:r>
      <w:r w:rsidR="00425903">
        <w:t>- A</w:t>
      </w:r>
      <w:r w:rsidRPr="00736E69">
        <w:t>n entity that receives Federal financial assistance directly from the Federal Transit Administration</w:t>
      </w:r>
      <w:r w:rsidR="00F5148D">
        <w:t xml:space="preserve"> (FTA)</w:t>
      </w:r>
      <w:r w:rsidRPr="00736E69">
        <w:t>.</w:t>
      </w:r>
    </w:p>
    <w:p w14:paraId="4ADDA34F" w14:textId="77777777" w:rsidR="00700000" w:rsidRDefault="00700000" w:rsidP="00736E69">
      <w:pPr>
        <w:rPr>
          <w:i/>
          <w:iCs/>
        </w:rPr>
      </w:pPr>
    </w:p>
    <w:p w14:paraId="2D1921F0" w14:textId="426CE275" w:rsidR="00736E69" w:rsidRPr="00736E69" w:rsidRDefault="00736E69" w:rsidP="00736E69">
      <w:r w:rsidRPr="00736E69">
        <w:rPr>
          <w:i/>
          <w:iCs/>
        </w:rPr>
        <w:t>Equipment</w:t>
      </w:r>
      <w:r w:rsidRPr="00736E69">
        <w:t xml:space="preserve"> </w:t>
      </w:r>
      <w:r w:rsidR="00425903">
        <w:t>- A</w:t>
      </w:r>
      <w:r w:rsidRPr="00736E69">
        <w:t>n article of nonexpendable, tangible property having a useful life of at least one year.</w:t>
      </w:r>
    </w:p>
    <w:p w14:paraId="33CEF10E" w14:textId="77777777" w:rsidR="00700000" w:rsidRDefault="00700000" w:rsidP="00736E69">
      <w:pPr>
        <w:rPr>
          <w:i/>
          <w:iCs/>
        </w:rPr>
      </w:pPr>
    </w:p>
    <w:p w14:paraId="3837BFB7" w14:textId="663876DF" w:rsidR="00736E69" w:rsidRPr="00736E69" w:rsidRDefault="00736E69" w:rsidP="00736E69">
      <w:r w:rsidRPr="00736E69">
        <w:rPr>
          <w:i/>
          <w:iCs/>
        </w:rPr>
        <w:t>Exclusive-use maintenance facility</w:t>
      </w:r>
      <w:r w:rsidRPr="00736E69">
        <w:t xml:space="preserve"> </w:t>
      </w:r>
      <w:r w:rsidR="00425903">
        <w:t>- A</w:t>
      </w:r>
      <w:r w:rsidRPr="00736E69">
        <w:t xml:space="preserve"> maintenance facility that is not commercial and either owned by a transit provider or used for servicing their vehicles.</w:t>
      </w:r>
    </w:p>
    <w:p w14:paraId="25027A62" w14:textId="77777777" w:rsidR="00700000" w:rsidRDefault="00700000" w:rsidP="00736E69">
      <w:pPr>
        <w:rPr>
          <w:i/>
          <w:iCs/>
        </w:rPr>
      </w:pPr>
    </w:p>
    <w:p w14:paraId="4DC2ACEA" w14:textId="1F353715" w:rsidR="00736E69" w:rsidRDefault="00736E69" w:rsidP="00736E69">
      <w:r w:rsidRPr="00736E69">
        <w:rPr>
          <w:i/>
          <w:iCs/>
        </w:rPr>
        <w:t>Facility</w:t>
      </w:r>
      <w:r w:rsidRPr="00736E69">
        <w:t xml:space="preserve"> </w:t>
      </w:r>
      <w:r w:rsidR="00425903">
        <w:t>- A</w:t>
      </w:r>
      <w:r w:rsidRPr="00736E69">
        <w:t xml:space="preserve"> building or structure that is used in providing public transportation.</w:t>
      </w:r>
    </w:p>
    <w:p w14:paraId="6B1DC256" w14:textId="77777777" w:rsidR="00700000" w:rsidRDefault="00700000" w:rsidP="00736E69">
      <w:pPr>
        <w:rPr>
          <w:i/>
        </w:rPr>
      </w:pPr>
    </w:p>
    <w:p w14:paraId="366FAE18" w14:textId="578EF3F3" w:rsidR="00196CD8" w:rsidRPr="00736E69" w:rsidRDefault="00196CD8" w:rsidP="00736E69">
      <w:r w:rsidRPr="00196CD8">
        <w:rPr>
          <w:i/>
        </w:rPr>
        <w:t>FTA</w:t>
      </w:r>
      <w:r>
        <w:t xml:space="preserve"> </w:t>
      </w:r>
      <w:r w:rsidR="00425903">
        <w:t>- The</w:t>
      </w:r>
      <w:r>
        <w:t xml:space="preserve"> Federal Transit Administration</w:t>
      </w:r>
      <w:r w:rsidR="00425903">
        <w:t>.</w:t>
      </w:r>
    </w:p>
    <w:p w14:paraId="6FB55B0B" w14:textId="77777777" w:rsidR="00700000" w:rsidRDefault="00700000" w:rsidP="00736E69">
      <w:pPr>
        <w:rPr>
          <w:i/>
          <w:iCs/>
        </w:rPr>
      </w:pPr>
    </w:p>
    <w:p w14:paraId="40707A41" w14:textId="22318A85" w:rsidR="00736E69" w:rsidRPr="00736E69" w:rsidRDefault="00736E69" w:rsidP="00736E69">
      <w:r w:rsidRPr="00736E69">
        <w:rPr>
          <w:i/>
          <w:iCs/>
        </w:rPr>
        <w:t>Full level of performance</w:t>
      </w:r>
      <w:r w:rsidRPr="00736E69">
        <w:t xml:space="preserve"> </w:t>
      </w:r>
      <w:r w:rsidR="00425903">
        <w:t>- T</w:t>
      </w:r>
      <w:r w:rsidRPr="00736E69">
        <w:t>he objective standard established by FTA for determining whether a capital asset is in a state of good repair.</w:t>
      </w:r>
    </w:p>
    <w:p w14:paraId="1B72B44D" w14:textId="77777777" w:rsidR="00700000" w:rsidRDefault="00700000" w:rsidP="00736E69">
      <w:pPr>
        <w:rPr>
          <w:i/>
          <w:iCs/>
        </w:rPr>
      </w:pPr>
    </w:p>
    <w:p w14:paraId="360EE302" w14:textId="0779393E" w:rsidR="00736E69" w:rsidRPr="00736E69" w:rsidRDefault="00736E69" w:rsidP="00736E69">
      <w:r w:rsidRPr="00736E69">
        <w:rPr>
          <w:i/>
          <w:iCs/>
        </w:rPr>
        <w:t>Group TAM plan</w:t>
      </w:r>
      <w:r w:rsidRPr="00736E69">
        <w:t xml:space="preserve"> </w:t>
      </w:r>
      <w:r w:rsidR="00425903">
        <w:t>- A</w:t>
      </w:r>
      <w:r w:rsidRPr="00736E69">
        <w:t xml:space="preserve"> single</w:t>
      </w:r>
      <w:r w:rsidR="00425903">
        <w:t xml:space="preserve"> Transit Asset Management (</w:t>
      </w:r>
      <w:r w:rsidRPr="00736E69">
        <w:t>TAM</w:t>
      </w:r>
      <w:r w:rsidR="00425903">
        <w:t>)</w:t>
      </w:r>
      <w:r w:rsidRPr="00736E69">
        <w:t xml:space="preserve"> plan that is developed by a sponsor on behalf of at least one </w:t>
      </w:r>
      <w:r w:rsidR="00425903">
        <w:t>T</w:t>
      </w:r>
      <w:r w:rsidRPr="00736E69">
        <w:t>ier II provider.</w:t>
      </w:r>
    </w:p>
    <w:p w14:paraId="1A7BB8D4" w14:textId="77777777" w:rsidR="00700000" w:rsidRDefault="00700000" w:rsidP="00736E69">
      <w:pPr>
        <w:rPr>
          <w:i/>
          <w:iCs/>
        </w:rPr>
      </w:pPr>
    </w:p>
    <w:p w14:paraId="7427A3EE" w14:textId="5095B087" w:rsidR="00736E69" w:rsidRPr="00736E69" w:rsidRDefault="00736E69" w:rsidP="00736E69">
      <w:r w:rsidRPr="00736E69">
        <w:rPr>
          <w:i/>
          <w:iCs/>
        </w:rPr>
        <w:t>Horizon period</w:t>
      </w:r>
      <w:r w:rsidRPr="00736E69">
        <w:t xml:space="preserve"> </w:t>
      </w:r>
      <w:r w:rsidR="00425903">
        <w:t>- T</w:t>
      </w:r>
      <w:r w:rsidRPr="00736E69">
        <w:t>he fixed period of time within which a transit provider will evaluate the performance of its TAM plan.</w:t>
      </w:r>
    </w:p>
    <w:p w14:paraId="176E621A" w14:textId="77777777" w:rsidR="00700000" w:rsidRDefault="00700000" w:rsidP="00736E69">
      <w:pPr>
        <w:rPr>
          <w:i/>
          <w:iCs/>
        </w:rPr>
      </w:pPr>
    </w:p>
    <w:p w14:paraId="2FC8EA5B" w14:textId="19A1FCF1" w:rsidR="00736E69" w:rsidRPr="00736E69" w:rsidRDefault="00736E69" w:rsidP="00736E69">
      <w:r w:rsidRPr="00736E69">
        <w:rPr>
          <w:i/>
          <w:iCs/>
        </w:rPr>
        <w:t>Implementation strategy</w:t>
      </w:r>
      <w:r w:rsidRPr="00736E69">
        <w:t xml:space="preserve"> </w:t>
      </w:r>
      <w:r w:rsidR="00425903">
        <w:t>- A</w:t>
      </w:r>
      <w:r w:rsidRPr="00736E69">
        <w:t xml:space="preserve"> transit provider's approach to carrying out TAM practices, including establishing a schedule, accountabilities, tasks, dependencies, and roles and responsibilities.</w:t>
      </w:r>
    </w:p>
    <w:p w14:paraId="00B6450F" w14:textId="77777777" w:rsidR="00700000" w:rsidRDefault="00700000" w:rsidP="00736E69">
      <w:pPr>
        <w:rPr>
          <w:i/>
          <w:iCs/>
        </w:rPr>
      </w:pPr>
    </w:p>
    <w:p w14:paraId="49D37981" w14:textId="7671717B" w:rsidR="00736E69" w:rsidRPr="00736E69" w:rsidRDefault="00736E69" w:rsidP="00736E69">
      <w:r w:rsidRPr="00736E69">
        <w:rPr>
          <w:i/>
          <w:iCs/>
        </w:rPr>
        <w:t>Infrastructure</w:t>
      </w:r>
      <w:r w:rsidRPr="00736E69">
        <w:t xml:space="preserve"> </w:t>
      </w:r>
      <w:r w:rsidR="00425903">
        <w:t>- T</w:t>
      </w:r>
      <w:r w:rsidRPr="00736E69">
        <w:t>he underlying framework or structures that support a public transportation system.</w:t>
      </w:r>
    </w:p>
    <w:p w14:paraId="6B83FA1B" w14:textId="77777777" w:rsidR="00700000" w:rsidRDefault="00700000" w:rsidP="00736E69">
      <w:pPr>
        <w:rPr>
          <w:i/>
          <w:iCs/>
        </w:rPr>
      </w:pPr>
    </w:p>
    <w:p w14:paraId="50E9188A" w14:textId="791B63E8" w:rsidR="00736E69" w:rsidRPr="00736E69" w:rsidRDefault="00736E69" w:rsidP="00736E69">
      <w:r w:rsidRPr="00736E69">
        <w:rPr>
          <w:i/>
          <w:iCs/>
        </w:rPr>
        <w:t>Investment prioritization</w:t>
      </w:r>
      <w:r w:rsidRPr="00736E69">
        <w:t xml:space="preserve"> </w:t>
      </w:r>
      <w:r w:rsidR="00425903">
        <w:t>- A</w:t>
      </w:r>
      <w:r w:rsidRPr="00736E69">
        <w:t xml:space="preserve"> transit provider's ranking of capital projects or programs to achieve or maintain a state of good repair. An investment prioritization is based on financial resources from all sources that a transit provider reasonably anticipates will be available over the TAM plan horizon period.</w:t>
      </w:r>
    </w:p>
    <w:p w14:paraId="411EDDB6" w14:textId="77777777" w:rsidR="00700000" w:rsidRDefault="00700000" w:rsidP="00736E69">
      <w:pPr>
        <w:rPr>
          <w:i/>
          <w:iCs/>
        </w:rPr>
      </w:pPr>
    </w:p>
    <w:p w14:paraId="195F3556" w14:textId="2AD4AE99" w:rsidR="00736E69" w:rsidRPr="00736E69" w:rsidRDefault="00736E69" w:rsidP="00736E69">
      <w:r w:rsidRPr="00736E69">
        <w:rPr>
          <w:i/>
          <w:iCs/>
        </w:rPr>
        <w:t>Key asset management activities</w:t>
      </w:r>
      <w:r w:rsidRPr="00736E69">
        <w:t xml:space="preserve"> </w:t>
      </w:r>
      <w:r w:rsidR="00425903">
        <w:t>- A</w:t>
      </w:r>
      <w:r w:rsidRPr="00736E69">
        <w:t xml:space="preserve"> list of activities that a transit provider determines are critical to achieving its TAM goals.</w:t>
      </w:r>
    </w:p>
    <w:p w14:paraId="582C76E4" w14:textId="77777777" w:rsidR="00700000" w:rsidRDefault="00700000" w:rsidP="00736E69">
      <w:pPr>
        <w:rPr>
          <w:i/>
          <w:iCs/>
        </w:rPr>
      </w:pPr>
    </w:p>
    <w:p w14:paraId="748DD77E" w14:textId="3C3AEC0A" w:rsidR="00736E69" w:rsidRDefault="00736E69" w:rsidP="00736E69">
      <w:r w:rsidRPr="00736E69">
        <w:rPr>
          <w:i/>
          <w:iCs/>
        </w:rPr>
        <w:t>Life-cycle cost</w:t>
      </w:r>
      <w:r w:rsidRPr="00736E69">
        <w:t xml:space="preserve"> </w:t>
      </w:r>
      <w:r w:rsidR="00425903">
        <w:t>- T</w:t>
      </w:r>
      <w:r w:rsidRPr="00736E69">
        <w:t>he cost of managing an asset over its whole life.</w:t>
      </w:r>
    </w:p>
    <w:p w14:paraId="2F78FFC0" w14:textId="4FF830D5" w:rsidR="0033690F" w:rsidRDefault="0033690F" w:rsidP="00736E69"/>
    <w:p w14:paraId="7F762B2D" w14:textId="3B7E07E9" w:rsidR="0033690F" w:rsidRDefault="00971D09" w:rsidP="00736E69">
      <w:r>
        <w:rPr>
          <w:i/>
        </w:rPr>
        <w:t>Main</w:t>
      </w:r>
      <w:r w:rsidR="00523159">
        <w:rPr>
          <w:i/>
        </w:rPr>
        <w:t>e</w:t>
      </w:r>
      <w:r w:rsidR="009A4675">
        <w:rPr>
          <w:i/>
        </w:rPr>
        <w:t xml:space="preserve">DOT </w:t>
      </w:r>
      <w:r w:rsidR="00425903">
        <w:t xml:space="preserve">– The </w:t>
      </w:r>
      <w:r>
        <w:t>Maine</w:t>
      </w:r>
      <w:r w:rsidR="0033690F">
        <w:t xml:space="preserve"> Department of Transportation</w:t>
      </w:r>
      <w:r w:rsidR="00425903">
        <w:t>.</w:t>
      </w:r>
    </w:p>
    <w:p w14:paraId="3CD9F89F" w14:textId="77777777" w:rsidR="00700000" w:rsidRDefault="00700000" w:rsidP="00736E69">
      <w:pPr>
        <w:rPr>
          <w:i/>
        </w:rPr>
      </w:pPr>
    </w:p>
    <w:p w14:paraId="0090DFE8" w14:textId="6D024C09" w:rsidR="00736E69" w:rsidRPr="00736E69" w:rsidRDefault="00736E69" w:rsidP="00736E69">
      <w:r w:rsidRPr="00736E69">
        <w:rPr>
          <w:i/>
          <w:iCs/>
        </w:rPr>
        <w:lastRenderedPageBreak/>
        <w:t>Participant</w:t>
      </w:r>
      <w:r w:rsidRPr="00736E69">
        <w:t xml:space="preserve"> </w:t>
      </w:r>
      <w:r w:rsidR="00425903">
        <w:t>– A T</w:t>
      </w:r>
      <w:r w:rsidRPr="00736E69">
        <w:t>ier II provider that participates in a group TAM plan.</w:t>
      </w:r>
    </w:p>
    <w:p w14:paraId="246BF61A" w14:textId="77777777" w:rsidR="00700000" w:rsidRDefault="00700000" w:rsidP="00736E69">
      <w:pPr>
        <w:rPr>
          <w:i/>
          <w:iCs/>
        </w:rPr>
      </w:pPr>
    </w:p>
    <w:p w14:paraId="50EA86BF" w14:textId="0C2BDFAC" w:rsidR="00736E69" w:rsidRPr="00736E69" w:rsidRDefault="00736E69" w:rsidP="00736E69">
      <w:r w:rsidRPr="00736E69">
        <w:rPr>
          <w:i/>
          <w:iCs/>
        </w:rPr>
        <w:t>Performance Measure</w:t>
      </w:r>
      <w:r w:rsidRPr="00736E69">
        <w:t xml:space="preserve"> </w:t>
      </w:r>
      <w:r w:rsidR="00425903">
        <w:t>- A</w:t>
      </w:r>
      <w:r w:rsidRPr="00736E69">
        <w:t>n expression based on a quantifiable indicator of performance or condition that is used to establish targets and to assess progress toward meeting the established targets (</w:t>
      </w:r>
      <w:r w:rsidRPr="00736E69">
        <w:rPr>
          <w:i/>
          <w:iCs/>
        </w:rPr>
        <w:t>e.g.,</w:t>
      </w:r>
      <w:r w:rsidRPr="00736E69">
        <w:t xml:space="preserve"> a measure for on-time performance is the percent of trains that arrive on time, and a corresponding quantifiable indicator of performance or condition is an arithmetic difference between scheduled and actual arrival time for each train).</w:t>
      </w:r>
    </w:p>
    <w:p w14:paraId="5CCD0C59" w14:textId="77777777" w:rsidR="00700000" w:rsidRDefault="00700000" w:rsidP="00736E69">
      <w:pPr>
        <w:rPr>
          <w:i/>
          <w:iCs/>
        </w:rPr>
      </w:pPr>
    </w:p>
    <w:p w14:paraId="50402175" w14:textId="29CB63F6" w:rsidR="00736E69" w:rsidRPr="00736E69" w:rsidRDefault="00736E69" w:rsidP="00736E69">
      <w:r w:rsidRPr="00736E69">
        <w:rPr>
          <w:i/>
          <w:iCs/>
        </w:rPr>
        <w:t>Performance target</w:t>
      </w:r>
      <w:r w:rsidRPr="00736E69">
        <w:t xml:space="preserve"> </w:t>
      </w:r>
      <w:r w:rsidR="00425903">
        <w:t>- A</w:t>
      </w:r>
      <w:r w:rsidRPr="00736E69">
        <w:t xml:space="preserve"> quantifiable level of performance or condition, expressed as a value for the measure, to be achieved within a time period required by FTA.</w:t>
      </w:r>
    </w:p>
    <w:p w14:paraId="415FA86B" w14:textId="77777777" w:rsidR="00700000" w:rsidRDefault="00700000" w:rsidP="00736E69">
      <w:pPr>
        <w:rPr>
          <w:i/>
          <w:iCs/>
        </w:rPr>
      </w:pPr>
    </w:p>
    <w:p w14:paraId="4750632A" w14:textId="7AC6951A" w:rsidR="00736E69" w:rsidRPr="00736E69" w:rsidRDefault="00736E69" w:rsidP="00736E69">
      <w:r w:rsidRPr="00736E69">
        <w:rPr>
          <w:i/>
          <w:iCs/>
        </w:rPr>
        <w:t>Public transportation system</w:t>
      </w:r>
      <w:r w:rsidRPr="00736E69">
        <w:t xml:space="preserve"> </w:t>
      </w:r>
      <w:r w:rsidR="00425903">
        <w:t>- T</w:t>
      </w:r>
      <w:r w:rsidRPr="00736E69">
        <w:t>he entirety of a transit provider's operations, including the services provided through contractors.</w:t>
      </w:r>
    </w:p>
    <w:p w14:paraId="0DCCF4E7" w14:textId="77777777" w:rsidR="00700000" w:rsidRDefault="00700000" w:rsidP="00736E69">
      <w:pPr>
        <w:rPr>
          <w:i/>
          <w:iCs/>
        </w:rPr>
      </w:pPr>
    </w:p>
    <w:p w14:paraId="71F91E0B" w14:textId="2F530FC1" w:rsidR="00736E69" w:rsidRPr="00736E69" w:rsidRDefault="00736E69" w:rsidP="00736E69">
      <w:r w:rsidRPr="00736E69">
        <w:rPr>
          <w:i/>
          <w:iCs/>
        </w:rPr>
        <w:t>Public transportation agency safety plan</w:t>
      </w:r>
      <w:r w:rsidRPr="00736E69">
        <w:t xml:space="preserve"> </w:t>
      </w:r>
      <w:r w:rsidR="00425903">
        <w:t>- A</w:t>
      </w:r>
      <w:r w:rsidRPr="00736E69">
        <w:t xml:space="preserve"> transit provider's documented comprehensive agency safety plan that is required by 49 U.S.C. 5329.</w:t>
      </w:r>
    </w:p>
    <w:p w14:paraId="0ADC0834" w14:textId="77777777" w:rsidR="00700000" w:rsidRDefault="00700000" w:rsidP="00736E69">
      <w:pPr>
        <w:rPr>
          <w:i/>
          <w:iCs/>
        </w:rPr>
      </w:pPr>
    </w:p>
    <w:p w14:paraId="7D027963" w14:textId="20902061" w:rsidR="00736E69" w:rsidRPr="00736E69" w:rsidRDefault="00736E69" w:rsidP="00736E69">
      <w:r w:rsidRPr="00736E69">
        <w:rPr>
          <w:i/>
          <w:iCs/>
        </w:rPr>
        <w:t>Recipient</w:t>
      </w:r>
      <w:r w:rsidRPr="00736E69">
        <w:t xml:space="preserve"> </w:t>
      </w:r>
      <w:r w:rsidR="00425903">
        <w:t>- A</w:t>
      </w:r>
      <w:r w:rsidRPr="00736E69">
        <w:t>n entity that receives Federal financial assistance under 49 U.S.C. Chapter 53, either directly from FTA or as a subrecipient.</w:t>
      </w:r>
    </w:p>
    <w:p w14:paraId="363374E7" w14:textId="77777777" w:rsidR="00700000" w:rsidRDefault="00700000" w:rsidP="00736E69">
      <w:pPr>
        <w:rPr>
          <w:i/>
          <w:iCs/>
        </w:rPr>
      </w:pPr>
    </w:p>
    <w:p w14:paraId="62F7D2A8" w14:textId="5436E4BB" w:rsidR="00736E69" w:rsidRPr="00736E69" w:rsidRDefault="00736E69" w:rsidP="00736E69">
      <w:r w:rsidRPr="00736E69">
        <w:rPr>
          <w:i/>
          <w:iCs/>
        </w:rPr>
        <w:t>Rolling stock</w:t>
      </w:r>
      <w:r w:rsidRPr="00736E69">
        <w:t xml:space="preserve"> </w:t>
      </w:r>
      <w:r w:rsidR="00425903">
        <w:t>- A</w:t>
      </w:r>
      <w:r w:rsidRPr="00736E69">
        <w:t xml:space="preserve"> revenue vehicle used in providing public transportation, including vehicles used for carrying passengers on fare-free services.</w:t>
      </w:r>
    </w:p>
    <w:p w14:paraId="6F189CBA" w14:textId="77777777" w:rsidR="00700000" w:rsidRDefault="00700000" w:rsidP="00736E69">
      <w:pPr>
        <w:rPr>
          <w:i/>
          <w:iCs/>
        </w:rPr>
      </w:pPr>
    </w:p>
    <w:p w14:paraId="5859756F" w14:textId="5C5CA569" w:rsidR="00736E69" w:rsidRPr="00736E69" w:rsidRDefault="00736E69" w:rsidP="00736E69">
      <w:r w:rsidRPr="00736E69">
        <w:rPr>
          <w:i/>
          <w:iCs/>
        </w:rPr>
        <w:t>Service vehicle</w:t>
      </w:r>
      <w:r w:rsidRPr="00736E69">
        <w:t xml:space="preserve"> </w:t>
      </w:r>
      <w:r w:rsidR="00425903">
        <w:t xml:space="preserve">- A </w:t>
      </w:r>
      <w:r w:rsidRPr="00736E69">
        <w:t xml:space="preserve">unit of equipment used primarily to support maintenance and repair work for a public transportation system or </w:t>
      </w:r>
      <w:r w:rsidR="00425903">
        <w:t>to deliver</w:t>
      </w:r>
      <w:r w:rsidRPr="00736E69">
        <w:t xml:space="preserve"> materials, equipment, or tools.</w:t>
      </w:r>
    </w:p>
    <w:p w14:paraId="1E419178" w14:textId="77777777" w:rsidR="00700000" w:rsidRDefault="00700000" w:rsidP="00736E69">
      <w:pPr>
        <w:rPr>
          <w:i/>
          <w:iCs/>
        </w:rPr>
      </w:pPr>
    </w:p>
    <w:p w14:paraId="7AFB0D92" w14:textId="423907E2" w:rsidR="00736E69" w:rsidRPr="00736E69" w:rsidRDefault="00736E69" w:rsidP="00736E69">
      <w:r w:rsidRPr="00736E69">
        <w:rPr>
          <w:i/>
          <w:iCs/>
        </w:rPr>
        <w:t>Sponsor</w:t>
      </w:r>
      <w:r w:rsidRPr="00736E69">
        <w:t xml:space="preserve"> </w:t>
      </w:r>
      <w:r w:rsidR="00425903">
        <w:t>- A</w:t>
      </w:r>
      <w:r w:rsidRPr="00736E69">
        <w:t xml:space="preserve"> </w:t>
      </w:r>
      <w:r w:rsidR="00425903">
        <w:t>s</w:t>
      </w:r>
      <w:r w:rsidRPr="00736E69">
        <w:t xml:space="preserve">tate, a designated recipient, or a direct recipient that develops a group TAM for at least one </w:t>
      </w:r>
      <w:r w:rsidR="00425903">
        <w:t>T</w:t>
      </w:r>
      <w:r w:rsidRPr="00736E69">
        <w:t>ier II provider.</w:t>
      </w:r>
    </w:p>
    <w:p w14:paraId="547672D9" w14:textId="77777777" w:rsidR="00700000" w:rsidRDefault="00700000" w:rsidP="00736E69">
      <w:pPr>
        <w:rPr>
          <w:i/>
          <w:iCs/>
        </w:rPr>
      </w:pPr>
    </w:p>
    <w:p w14:paraId="0C44899C" w14:textId="20F038E7" w:rsidR="00736E69" w:rsidRPr="00736E69" w:rsidRDefault="00736E69" w:rsidP="00736E69">
      <w:r w:rsidRPr="00736E69">
        <w:rPr>
          <w:i/>
          <w:iCs/>
        </w:rPr>
        <w:t>State of good repair (SGR)</w:t>
      </w:r>
      <w:r w:rsidRPr="00736E69">
        <w:t xml:space="preserve"> </w:t>
      </w:r>
      <w:r w:rsidR="00425903">
        <w:t>- T</w:t>
      </w:r>
      <w:r w:rsidRPr="00736E69">
        <w:t>he condition in which a capital asset is able to operate at a full level of performance.</w:t>
      </w:r>
    </w:p>
    <w:p w14:paraId="5F20C8E5" w14:textId="77777777" w:rsidR="00700000" w:rsidRDefault="00700000" w:rsidP="00736E69">
      <w:pPr>
        <w:rPr>
          <w:i/>
          <w:iCs/>
        </w:rPr>
      </w:pPr>
    </w:p>
    <w:p w14:paraId="3C5FEAFB" w14:textId="6DDBD722" w:rsidR="00736E69" w:rsidRPr="00736E69" w:rsidRDefault="00736E69" w:rsidP="00736E69">
      <w:r w:rsidRPr="00736E69">
        <w:rPr>
          <w:i/>
          <w:iCs/>
        </w:rPr>
        <w:t>Subrecipient</w:t>
      </w:r>
      <w:r w:rsidRPr="00736E69">
        <w:t xml:space="preserve"> </w:t>
      </w:r>
      <w:r w:rsidR="00425903">
        <w:t>- A</w:t>
      </w:r>
      <w:r w:rsidRPr="00736E69">
        <w:t xml:space="preserve">n entity that receives Federal transit grant funds indirectly through a </w:t>
      </w:r>
      <w:r w:rsidR="00425903">
        <w:t>s</w:t>
      </w:r>
      <w:r w:rsidRPr="00736E69">
        <w:t>tate or direct recipient.</w:t>
      </w:r>
    </w:p>
    <w:p w14:paraId="07C7DFC6" w14:textId="77777777" w:rsidR="00700000" w:rsidRDefault="00700000" w:rsidP="00736E69">
      <w:pPr>
        <w:rPr>
          <w:i/>
          <w:iCs/>
        </w:rPr>
      </w:pPr>
    </w:p>
    <w:p w14:paraId="46C679B2" w14:textId="03784562" w:rsidR="00736E69" w:rsidRPr="00736E69" w:rsidRDefault="00736E69" w:rsidP="00736E69">
      <w:r w:rsidRPr="00736E69">
        <w:rPr>
          <w:i/>
          <w:iCs/>
        </w:rPr>
        <w:t>TERM scale</w:t>
      </w:r>
      <w:r w:rsidRPr="00736E69">
        <w:t xml:space="preserve"> </w:t>
      </w:r>
      <w:r w:rsidR="00BA1763">
        <w:t>- T</w:t>
      </w:r>
      <w:r w:rsidRPr="00736E69">
        <w:t xml:space="preserve">he five category rating system used in </w:t>
      </w:r>
      <w:r w:rsidR="00BA1763">
        <w:t>FTA’s</w:t>
      </w:r>
      <w:r w:rsidRPr="00736E69">
        <w:t xml:space="preserve"> Transit Economic Requirements Model (TERM) to describe the condition of an asset: 5.0—Excellent, 4.0—Good; 3.0—Adequate, 2.0—Marginal, and 1.0—Poor.</w:t>
      </w:r>
    </w:p>
    <w:p w14:paraId="19E05598" w14:textId="77777777" w:rsidR="00700000" w:rsidRDefault="00700000" w:rsidP="00736E69">
      <w:pPr>
        <w:rPr>
          <w:i/>
          <w:iCs/>
        </w:rPr>
      </w:pPr>
    </w:p>
    <w:p w14:paraId="47378BB0" w14:textId="064D1B56" w:rsidR="00736E69" w:rsidRPr="00736E69" w:rsidRDefault="00736E69" w:rsidP="00736E69">
      <w:r w:rsidRPr="00736E69">
        <w:rPr>
          <w:i/>
          <w:iCs/>
        </w:rPr>
        <w:t>Tier I provider</w:t>
      </w:r>
      <w:r w:rsidRPr="00736E69">
        <w:t xml:space="preserve"> </w:t>
      </w:r>
      <w:r w:rsidR="00BA1763">
        <w:t>- A</w:t>
      </w:r>
      <w:r w:rsidRPr="00736E69">
        <w:t xml:space="preserve"> recipient that owns, operates, or manages either (1) one hundred and one or more vehicles in revenue service during peak regular service across all fixed route modes or in any one non-fixed route mode, or (2) rail transit.</w:t>
      </w:r>
    </w:p>
    <w:p w14:paraId="4E407791" w14:textId="77777777" w:rsidR="00700000" w:rsidRDefault="00700000" w:rsidP="00736E69">
      <w:pPr>
        <w:rPr>
          <w:i/>
          <w:iCs/>
        </w:rPr>
      </w:pPr>
    </w:p>
    <w:p w14:paraId="38F6B99A" w14:textId="42932824" w:rsidR="00736E69" w:rsidRPr="00736E69" w:rsidRDefault="00736E69" w:rsidP="00736E69">
      <w:r w:rsidRPr="00736E69">
        <w:rPr>
          <w:i/>
          <w:iCs/>
        </w:rPr>
        <w:t>Tier II provider</w:t>
      </w:r>
      <w:r w:rsidRPr="00736E69">
        <w:t xml:space="preserve"> </w:t>
      </w:r>
      <w:r w:rsidR="00BA1763">
        <w:t>- A</w:t>
      </w:r>
      <w:r w:rsidRPr="00736E69">
        <w:t xml:space="preserve"> recipient that owns, operates, or manages (1) one hundred or fewer vehicles in revenue service during peak regular service across all non-rail fixed route modes or in any </w:t>
      </w:r>
      <w:r w:rsidRPr="00736E69">
        <w:lastRenderedPageBreak/>
        <w:t>one non-fixed route mode, (2) a subrecipient under the 5311 Rural Area Formula Program, (3) or any American Indian tribe.</w:t>
      </w:r>
    </w:p>
    <w:p w14:paraId="1A37DD3B" w14:textId="77777777" w:rsidR="00700000" w:rsidRDefault="00700000" w:rsidP="00736E69">
      <w:pPr>
        <w:rPr>
          <w:i/>
          <w:iCs/>
        </w:rPr>
      </w:pPr>
    </w:p>
    <w:p w14:paraId="6C3B1A8A" w14:textId="2277B217" w:rsidR="00736E69" w:rsidRPr="00736E69" w:rsidRDefault="00736E69" w:rsidP="00736E69">
      <w:r w:rsidRPr="00736E69">
        <w:rPr>
          <w:i/>
          <w:iCs/>
        </w:rPr>
        <w:t>Transit asset management (TAM)</w:t>
      </w:r>
      <w:r w:rsidRPr="00736E69">
        <w:t xml:space="preserve"> </w:t>
      </w:r>
      <w:r w:rsidR="00FA66D8">
        <w:t>- T</w:t>
      </w:r>
      <w:r w:rsidRPr="00736E69">
        <w:t>he strategic and systematic practice of procuring, operating, inspecting, maintaining, rehabilitating, and replacing transit capital assets to manage their performance, risks, and costs over their life cycles, for the purpose of providing safe, cost-effective, and reliable public transportation.</w:t>
      </w:r>
    </w:p>
    <w:p w14:paraId="6C2ED4F5" w14:textId="77777777" w:rsidR="00700000" w:rsidRDefault="00700000" w:rsidP="00736E69">
      <w:pPr>
        <w:rPr>
          <w:i/>
          <w:iCs/>
        </w:rPr>
      </w:pPr>
    </w:p>
    <w:p w14:paraId="327618EB" w14:textId="13993CC9" w:rsidR="00736E69" w:rsidRPr="00736E69" w:rsidRDefault="00736E69" w:rsidP="00736E69">
      <w:r w:rsidRPr="00736E69">
        <w:rPr>
          <w:i/>
          <w:iCs/>
        </w:rPr>
        <w:t>Transit asset management (TAM) plan</w:t>
      </w:r>
      <w:r w:rsidRPr="00736E69">
        <w:t xml:space="preserve"> </w:t>
      </w:r>
      <w:r w:rsidR="00FA66D8">
        <w:t>- A</w:t>
      </w:r>
      <w:r w:rsidRPr="00736E69">
        <w:t xml:space="preserve"> plan that includes an inventory of capital assets, a condition assessment of inventoried assets, a decision support tool, and a prioritization of investments.</w:t>
      </w:r>
    </w:p>
    <w:p w14:paraId="5BACA181" w14:textId="77777777" w:rsidR="00700000" w:rsidRDefault="00700000" w:rsidP="00736E69">
      <w:pPr>
        <w:rPr>
          <w:i/>
          <w:iCs/>
        </w:rPr>
      </w:pPr>
    </w:p>
    <w:p w14:paraId="77A6C1B7" w14:textId="1D5C60FA" w:rsidR="00736E69" w:rsidRPr="00736E69" w:rsidRDefault="00736E69" w:rsidP="00736E69">
      <w:r w:rsidRPr="00736E69">
        <w:rPr>
          <w:i/>
          <w:iCs/>
        </w:rPr>
        <w:t>Transit asset management (TAM) policy</w:t>
      </w:r>
      <w:r w:rsidRPr="00736E69">
        <w:t xml:space="preserve"> </w:t>
      </w:r>
      <w:r w:rsidR="00FA66D8">
        <w:t>- A</w:t>
      </w:r>
      <w:r w:rsidRPr="00736E69">
        <w:t xml:space="preserve"> transit provider's documented commitment to achieving and maintaining a state of good repair for all its capital assets. The TAM policy defines the transit provider's TAM objectives and defines and assigns roles and responsibilities for meeting those objectives.</w:t>
      </w:r>
    </w:p>
    <w:p w14:paraId="08BCBE4A" w14:textId="77777777" w:rsidR="00700000" w:rsidRDefault="00700000" w:rsidP="00736E69">
      <w:pPr>
        <w:rPr>
          <w:i/>
          <w:iCs/>
        </w:rPr>
      </w:pPr>
    </w:p>
    <w:p w14:paraId="53627B39" w14:textId="7C0108A5" w:rsidR="00736E69" w:rsidRPr="00736E69" w:rsidRDefault="00736E69" w:rsidP="00736E69">
      <w:r w:rsidRPr="00736E69">
        <w:rPr>
          <w:i/>
          <w:iCs/>
        </w:rPr>
        <w:t>Transit asset management (TAM) strategy</w:t>
      </w:r>
      <w:r w:rsidRPr="00736E69">
        <w:t xml:space="preserve"> </w:t>
      </w:r>
      <w:r w:rsidR="00FA66D8">
        <w:t>- T</w:t>
      </w:r>
      <w:r w:rsidRPr="00736E69">
        <w:t>he approach a transit provider takes to carry out its policy for TAM, including its objectives and performance targets.</w:t>
      </w:r>
    </w:p>
    <w:p w14:paraId="4BDCC9FD" w14:textId="77777777" w:rsidR="00700000" w:rsidRDefault="00700000" w:rsidP="00736E69">
      <w:pPr>
        <w:rPr>
          <w:i/>
          <w:iCs/>
        </w:rPr>
      </w:pPr>
    </w:p>
    <w:p w14:paraId="041E095C" w14:textId="4EB59A20" w:rsidR="00736E69" w:rsidRPr="00736E69" w:rsidRDefault="00736E69" w:rsidP="00736E69">
      <w:r w:rsidRPr="00736E69">
        <w:rPr>
          <w:i/>
          <w:iCs/>
        </w:rPr>
        <w:t>Transit asset management system</w:t>
      </w:r>
      <w:r w:rsidRPr="00736E69">
        <w:t xml:space="preserve"> </w:t>
      </w:r>
      <w:r w:rsidR="00FA66D8">
        <w:t>- A</w:t>
      </w:r>
      <w:r w:rsidRPr="00736E69">
        <w:t xml:space="preserve"> strategic and systematic process of operating, maintaining, and improving public transportation capital assets effectively, throughout the life cycles of those assets.</w:t>
      </w:r>
    </w:p>
    <w:p w14:paraId="703DD615" w14:textId="77777777" w:rsidR="00700000" w:rsidRDefault="00700000" w:rsidP="00736E69">
      <w:pPr>
        <w:rPr>
          <w:i/>
          <w:iCs/>
        </w:rPr>
      </w:pPr>
    </w:p>
    <w:p w14:paraId="0F59C51F" w14:textId="5652EA9F" w:rsidR="00736E69" w:rsidRPr="00736E69" w:rsidRDefault="00736E69" w:rsidP="00736E69">
      <w:r w:rsidRPr="00736E69">
        <w:rPr>
          <w:i/>
          <w:iCs/>
        </w:rPr>
        <w:t>Transit provider (provider)</w:t>
      </w:r>
      <w:r w:rsidRPr="00736E69">
        <w:t xml:space="preserve"> </w:t>
      </w:r>
      <w:r w:rsidR="00FA66D8">
        <w:t>- A</w:t>
      </w:r>
      <w:r w:rsidRPr="00736E69">
        <w:t xml:space="preserve"> recipient or subrecipient of Federal financial assistance under 49 U.S.C. </w:t>
      </w:r>
      <w:r w:rsidR="00FA66D8">
        <w:t>C</w:t>
      </w:r>
      <w:r w:rsidRPr="00736E69">
        <w:t>hapter 53 that owns, operates, or manages capital assets used in providing public transportation.</w:t>
      </w:r>
    </w:p>
    <w:p w14:paraId="0F4AE868" w14:textId="77777777" w:rsidR="00700000" w:rsidRDefault="00700000" w:rsidP="00736E69">
      <w:pPr>
        <w:rPr>
          <w:i/>
          <w:iCs/>
        </w:rPr>
      </w:pPr>
    </w:p>
    <w:p w14:paraId="01EC00AB" w14:textId="45FFC8A0" w:rsidR="00736E69" w:rsidRPr="00736E69" w:rsidRDefault="00736E69" w:rsidP="00736E69">
      <w:r w:rsidRPr="00736E69">
        <w:rPr>
          <w:i/>
          <w:iCs/>
        </w:rPr>
        <w:t>Useful life</w:t>
      </w:r>
      <w:r w:rsidRPr="00736E69">
        <w:t xml:space="preserve"> </w:t>
      </w:r>
      <w:r w:rsidR="00FA66D8">
        <w:t>- E</w:t>
      </w:r>
      <w:r w:rsidRPr="00736E69">
        <w:t>ither the expected life cycle of a capital asset or the acceptable period of use in service determined by FTA.</w:t>
      </w:r>
    </w:p>
    <w:p w14:paraId="47C28C29" w14:textId="77777777" w:rsidR="00700000" w:rsidRDefault="00700000" w:rsidP="00B84D4E">
      <w:pPr>
        <w:rPr>
          <w:i/>
          <w:iCs/>
        </w:rPr>
      </w:pPr>
    </w:p>
    <w:p w14:paraId="5C15634C" w14:textId="00C08D6D" w:rsidR="00716CA6" w:rsidRDefault="00736E69" w:rsidP="00B84D4E">
      <w:r w:rsidRPr="00736E69">
        <w:rPr>
          <w:i/>
          <w:iCs/>
        </w:rPr>
        <w:t>Useful life benchmark (ULB)</w:t>
      </w:r>
      <w:r w:rsidRPr="00736E69">
        <w:t xml:space="preserve"> </w:t>
      </w:r>
      <w:r w:rsidR="00FA66D8">
        <w:t>- T</w:t>
      </w:r>
      <w:r w:rsidRPr="00736E69">
        <w:t>he expected life cycle or the acceptable period of use in service for a capital asset, as determined by a transit provider, or the default benchmark provided by FTA.</w:t>
      </w:r>
    </w:p>
    <w:p w14:paraId="38EEDF77" w14:textId="5AA4171A" w:rsidR="008639D9" w:rsidRDefault="008639D9" w:rsidP="00B84D4E"/>
    <w:p w14:paraId="6417376E" w14:textId="7F4B671E" w:rsidR="00260360" w:rsidRDefault="00260360" w:rsidP="00B84D4E"/>
    <w:p w14:paraId="31EA2F5E" w14:textId="77777777" w:rsidR="00757836" w:rsidRDefault="00757836" w:rsidP="00B84D4E"/>
    <w:p w14:paraId="0027F85A" w14:textId="77777777" w:rsidR="00757836" w:rsidRDefault="00757836" w:rsidP="00B84D4E"/>
    <w:p w14:paraId="186F47F3" w14:textId="77777777" w:rsidR="00757836" w:rsidRDefault="00757836" w:rsidP="00B84D4E"/>
    <w:p w14:paraId="0027F20D" w14:textId="77777777" w:rsidR="00757836" w:rsidRDefault="00757836" w:rsidP="00B84D4E"/>
    <w:p w14:paraId="177D841E" w14:textId="77777777" w:rsidR="00757836" w:rsidRDefault="00757836" w:rsidP="00B84D4E"/>
    <w:p w14:paraId="0ABFDDAB" w14:textId="7B098D21" w:rsidR="00260360" w:rsidRDefault="00260360" w:rsidP="00B84D4E"/>
    <w:p w14:paraId="387827E5" w14:textId="0C0F7E06" w:rsidR="00260360" w:rsidRDefault="00260360" w:rsidP="00B84D4E"/>
    <w:p w14:paraId="4962552A" w14:textId="06598351" w:rsidR="00260360" w:rsidRDefault="00260360" w:rsidP="00B84D4E"/>
    <w:p w14:paraId="330F6FA0" w14:textId="0E0D7060" w:rsidR="00260360" w:rsidRDefault="00260360" w:rsidP="00B84D4E"/>
    <w:p w14:paraId="349CCD3F" w14:textId="7E7AB077" w:rsidR="00493F14" w:rsidRDefault="00493F14" w:rsidP="00B84D4E"/>
    <w:p w14:paraId="0D87EB72" w14:textId="4DC2CAEF" w:rsidR="00700000" w:rsidRPr="00871D6F" w:rsidRDefault="00AD2EE9" w:rsidP="00B2587A">
      <w:pPr>
        <w:ind w:left="0" w:firstLine="270"/>
        <w:rPr>
          <w:b/>
          <w:sz w:val="26"/>
          <w:szCs w:val="26"/>
        </w:rPr>
      </w:pPr>
      <w:r w:rsidRPr="00871D6F">
        <w:rPr>
          <w:b/>
          <w:sz w:val="26"/>
          <w:szCs w:val="26"/>
        </w:rPr>
        <w:lastRenderedPageBreak/>
        <w:t xml:space="preserve">MaineDOT </w:t>
      </w:r>
      <w:r w:rsidR="00871D6F" w:rsidRPr="00871D6F">
        <w:rPr>
          <w:b/>
          <w:sz w:val="26"/>
          <w:szCs w:val="26"/>
        </w:rPr>
        <w:t>Transit Asset Management Plan</w:t>
      </w:r>
    </w:p>
    <w:p w14:paraId="4A2BF009" w14:textId="77777777" w:rsidR="00871D6F" w:rsidRDefault="00871D6F" w:rsidP="00B2587A">
      <w:pPr>
        <w:ind w:firstLine="270"/>
        <w:rPr>
          <w:b/>
          <w:sz w:val="24"/>
          <w:lang w:bidi="en-US"/>
        </w:rPr>
      </w:pPr>
    </w:p>
    <w:p w14:paraId="28A1C212" w14:textId="402AEF52" w:rsidR="000C50C4" w:rsidRPr="000C50C4" w:rsidRDefault="000C50C4" w:rsidP="00B2587A">
      <w:pPr>
        <w:ind w:left="0" w:firstLine="270"/>
        <w:rPr>
          <w:b/>
          <w:lang w:bidi="en-US"/>
        </w:rPr>
      </w:pPr>
      <w:r w:rsidRPr="000C50C4">
        <w:rPr>
          <w:b/>
          <w:sz w:val="24"/>
          <w:lang w:bidi="en-US"/>
        </w:rPr>
        <w:t>TAM PLAN INCLUSION</w:t>
      </w:r>
    </w:p>
    <w:p w14:paraId="4B8E9968" w14:textId="77777777" w:rsidR="000C50C4" w:rsidRDefault="000C50C4" w:rsidP="00F27716">
      <w:pPr>
        <w:rPr>
          <w:lang w:bidi="en-US"/>
        </w:rPr>
      </w:pPr>
    </w:p>
    <w:p w14:paraId="63B3228D" w14:textId="496FC7C8" w:rsidR="00F27716" w:rsidRDefault="00F27716" w:rsidP="00375D3C">
      <w:pPr>
        <w:rPr>
          <w:lang w:bidi="en-US"/>
        </w:rPr>
      </w:pPr>
      <w:r w:rsidRPr="00F27716">
        <w:rPr>
          <w:lang w:bidi="en-US"/>
        </w:rPr>
        <w:t>MaineDOT is a direct recipient of FTA 5310 and 5311 funds and oversees 13 Tier II transit systems as defined by the Federal Transit Administration</w:t>
      </w:r>
      <w:r w:rsidR="00375D3C">
        <w:rPr>
          <w:lang w:bidi="en-US"/>
        </w:rPr>
        <w:t xml:space="preserve"> (FTA)</w:t>
      </w:r>
      <w:r w:rsidRPr="00F27716">
        <w:rPr>
          <w:lang w:bidi="en-US"/>
        </w:rPr>
        <w:t xml:space="preserve"> who own, operate or manage public transportation capital assets used in the provision of public transportation. Each system was invited to training sessions in September 2017 and July 2018 as part of the State’s education and outreach process and has requested to participate in the MaineDOT Plan to ensure compliance with FTA 49 CFR Part 6</w:t>
      </w:r>
      <w:r>
        <w:rPr>
          <w:lang w:bidi="en-US"/>
        </w:rPr>
        <w:t>2</w:t>
      </w:r>
      <w:r w:rsidRPr="00F27716">
        <w:rPr>
          <w:lang w:bidi="en-US"/>
        </w:rPr>
        <w:t>5.</w:t>
      </w:r>
    </w:p>
    <w:p w14:paraId="2F61269B" w14:textId="3D12D4D0" w:rsidR="00A24296" w:rsidRDefault="00A24296" w:rsidP="00F27716">
      <w:pPr>
        <w:rPr>
          <w:lang w:bidi="en-US"/>
        </w:rPr>
      </w:pPr>
    </w:p>
    <w:p w14:paraId="167AF480" w14:textId="75FE4644" w:rsidR="00A24296" w:rsidRPr="00F27716" w:rsidRDefault="00A24296" w:rsidP="00375D3C">
      <w:pPr>
        <w:rPr>
          <w:lang w:bidi="en-US"/>
        </w:rPr>
      </w:pPr>
      <w:r>
        <w:t>There are five tribal governments operating within the State. Of these, the Houlton Band of Maliseets is the only recipient of FTA funds and has elected to prepare its own TAM Plan.</w:t>
      </w:r>
    </w:p>
    <w:p w14:paraId="4855E637" w14:textId="6D859247" w:rsidR="00F27716" w:rsidRDefault="00F27716" w:rsidP="00F27716">
      <w:pPr>
        <w:rPr>
          <w:lang w:bidi="en-US"/>
        </w:rPr>
      </w:pPr>
    </w:p>
    <w:p w14:paraId="44E0A7D1" w14:textId="297465BE" w:rsidR="00AC3167" w:rsidRPr="002A0667" w:rsidRDefault="002A0667" w:rsidP="00A20AB5">
      <w:pPr>
        <w:rPr>
          <w:b/>
          <w:sz w:val="24"/>
          <w:szCs w:val="24"/>
          <w:lang w:bidi="en-US"/>
        </w:rPr>
      </w:pPr>
      <w:r w:rsidRPr="002A0667">
        <w:rPr>
          <w:b/>
          <w:sz w:val="24"/>
          <w:szCs w:val="24"/>
          <w:lang w:bidi="en-US"/>
        </w:rPr>
        <w:t>ASSET INVENTORY</w:t>
      </w:r>
    </w:p>
    <w:p w14:paraId="776B6946" w14:textId="77777777" w:rsidR="00871D6F" w:rsidRDefault="00871D6F" w:rsidP="002A0667">
      <w:pPr>
        <w:ind w:left="115"/>
        <w:rPr>
          <w:b/>
          <w:u w:val="single"/>
        </w:rPr>
      </w:pPr>
    </w:p>
    <w:p w14:paraId="72CD0772" w14:textId="7BD2AA34" w:rsidR="00871D6F" w:rsidRPr="00871D6F" w:rsidRDefault="00871D6F" w:rsidP="00B2587A">
      <w:r>
        <w:t xml:space="preserve">Transit assets included within this plan may be considered in two overall classifications: (1) facilities and (2) rolling stock and equipment. These are then further delineated by whether they are in service to land- or water-based transit operations. Within land-based rolling stock, there are further sub-classifications that are </w:t>
      </w:r>
      <w:r w:rsidR="00375D3C">
        <w:t xml:space="preserve">used </w:t>
      </w:r>
      <w:r>
        <w:t xml:space="preserve">for comparing and prioritizing investment among like asset types.  </w:t>
      </w:r>
    </w:p>
    <w:p w14:paraId="49AF3F1A" w14:textId="77777777" w:rsidR="00871D6F" w:rsidRDefault="00871D6F" w:rsidP="00B2587A">
      <w:pPr>
        <w:rPr>
          <w:b/>
          <w:u w:val="single"/>
        </w:rPr>
      </w:pPr>
    </w:p>
    <w:p w14:paraId="332ECF43" w14:textId="21DD811F" w:rsidR="002A0667" w:rsidRPr="007C4D9D" w:rsidRDefault="002A0667" w:rsidP="00B2587A">
      <w:pPr>
        <w:rPr>
          <w:b/>
          <w:u w:val="single"/>
        </w:rPr>
      </w:pPr>
      <w:r>
        <w:rPr>
          <w:b/>
          <w:u w:val="single"/>
        </w:rPr>
        <w:t>Facilities</w:t>
      </w:r>
    </w:p>
    <w:p w14:paraId="25D20221" w14:textId="71029C9C" w:rsidR="002A0667" w:rsidRDefault="002A0667" w:rsidP="00B2587A">
      <w:r>
        <w:t xml:space="preserve">Transit facilities included in this Plan include buildings, parking lots, piers, transfer bridges and related ferry service support equipment (such as hoists). Facility data are relatively static and included in asset inventories held by the facility owner. Data were collected as required for inclusion in this Plan from participating providers. As facilities are added, deleted or substantially changed, they will be reported to the MaineDOT Transit Asset Manager. An annual reminder will be sent out to all participating providers along with the appropriate Facility Assessment Tool(s) to be used for inspections and condition assessments (see Table </w:t>
      </w:r>
      <w:r w:rsidR="00B2587A">
        <w:t>8</w:t>
      </w:r>
      <w:r>
        <w:t xml:space="preserve">, </w:t>
      </w:r>
      <w:r w:rsidR="00B2587A">
        <w:t xml:space="preserve">9 </w:t>
      </w:r>
      <w:r>
        <w:t xml:space="preserve">and </w:t>
      </w:r>
      <w:r w:rsidR="00B2587A">
        <w:t>10</w:t>
      </w:r>
      <w:r>
        <w:t xml:space="preserve">). </w:t>
      </w:r>
    </w:p>
    <w:p w14:paraId="04A8613B" w14:textId="77777777" w:rsidR="002A0667" w:rsidRDefault="002A0667" w:rsidP="00B2587A"/>
    <w:p w14:paraId="4AA6B6DD" w14:textId="77777777" w:rsidR="002A0667" w:rsidRPr="007C4D9D" w:rsidRDefault="002A0667" w:rsidP="00B2587A">
      <w:pPr>
        <w:rPr>
          <w:b/>
          <w:u w:val="single"/>
        </w:rPr>
      </w:pPr>
      <w:r w:rsidRPr="007C4D9D">
        <w:rPr>
          <w:b/>
          <w:u w:val="single"/>
        </w:rPr>
        <w:t>Water-Based Rolling Stock</w:t>
      </w:r>
    </w:p>
    <w:p w14:paraId="78C214BC" w14:textId="1EE8B530" w:rsidR="002A0667" w:rsidRDefault="002A0667" w:rsidP="00B2587A">
      <w:r>
        <w:t xml:space="preserve">Ferries have a relatively long useful life and are few compared with land-based transit rolling stock. The Maine State and Isle au Haut Ferry Services manage their respective fleet data and will keep the MaineDOT Transit Asset Manager updated on an annual basis. </w:t>
      </w:r>
    </w:p>
    <w:p w14:paraId="48A26DBA" w14:textId="77777777" w:rsidR="002A0667" w:rsidRDefault="002A0667" w:rsidP="00B2587A"/>
    <w:p w14:paraId="1A58551C" w14:textId="77777777" w:rsidR="002A0667" w:rsidRPr="00BE1C8F" w:rsidRDefault="002A0667" w:rsidP="00B2587A">
      <w:pPr>
        <w:rPr>
          <w:b/>
          <w:u w:val="single"/>
        </w:rPr>
      </w:pPr>
      <w:r w:rsidRPr="00BE1C8F">
        <w:rPr>
          <w:b/>
          <w:u w:val="single"/>
        </w:rPr>
        <w:t>Land-Based Rolling Stock and Equipment</w:t>
      </w:r>
    </w:p>
    <w:p w14:paraId="70CA073B" w14:textId="66E392EE" w:rsidR="00871D6F" w:rsidRDefault="002A0667" w:rsidP="00B2587A">
      <w:r>
        <w:t xml:space="preserve">The vast majority of inventory intensively managed within this Plan are transit vans and buses owned by MaineDOT subrecipients. MaineDOT requires grant subrecipients to submit rolling stock data for TAM/Program Management purposes once a year for buses and vans. MaineDOT uses a Microsoft Access Database designed specifically to track and account for transit rolling stock and uses a Public Transit Management System (PTMS) Form to collect asset management data. An example of the PTMS Form is listed below in Table </w:t>
      </w:r>
      <w:r w:rsidR="001B1344">
        <w:t>4</w:t>
      </w:r>
      <w:r>
        <w:t>.</w:t>
      </w:r>
      <w:r w:rsidR="00871D6F" w:rsidRPr="00871D6F">
        <w:t xml:space="preserve"> </w:t>
      </w:r>
    </w:p>
    <w:p w14:paraId="52267979" w14:textId="77777777" w:rsidR="00871D6F" w:rsidRDefault="00871D6F" w:rsidP="00B2587A"/>
    <w:p w14:paraId="298F26F4" w14:textId="61626D2F" w:rsidR="002A0667" w:rsidRDefault="00871D6F" w:rsidP="00B2587A">
      <w:r>
        <w:lastRenderedPageBreak/>
        <w:t>A full listing of all 20</w:t>
      </w:r>
      <w:r w:rsidR="005E543B">
        <w:t>2</w:t>
      </w:r>
      <w:r>
        <w:t>1 assets is located in Appendices 1 and 2.</w:t>
      </w:r>
    </w:p>
    <w:p w14:paraId="4DEBD2C5" w14:textId="77777777" w:rsidR="002216F8" w:rsidRPr="007E6F80" w:rsidRDefault="002216F8" w:rsidP="00B2587A">
      <w:pPr>
        <w:pStyle w:val="Heading2"/>
        <w:ind w:left="270"/>
        <w:rPr>
          <w:caps w:val="0"/>
          <w:sz w:val="22"/>
          <w:szCs w:val="22"/>
        </w:rPr>
      </w:pPr>
    </w:p>
    <w:p w14:paraId="26333AA5" w14:textId="59A54AB5" w:rsidR="00F27716" w:rsidRPr="007E6F80" w:rsidRDefault="00D36F33" w:rsidP="00B2587A">
      <w:pPr>
        <w:pStyle w:val="Heading2"/>
        <w:ind w:left="270"/>
        <w:rPr>
          <w:sz w:val="22"/>
          <w:szCs w:val="22"/>
        </w:rPr>
      </w:pPr>
      <w:bookmarkStart w:id="8" w:name="_Toc527365843"/>
      <w:r w:rsidRPr="007E6F80">
        <w:rPr>
          <w:caps w:val="0"/>
          <w:sz w:val="22"/>
          <w:szCs w:val="22"/>
        </w:rPr>
        <w:t xml:space="preserve">Rolling Stock and Equipment </w:t>
      </w:r>
      <w:r w:rsidR="00871D6F" w:rsidRPr="007E6F80">
        <w:rPr>
          <w:caps w:val="0"/>
          <w:sz w:val="22"/>
          <w:szCs w:val="22"/>
        </w:rPr>
        <w:t>Classifications</w:t>
      </w:r>
      <w:bookmarkEnd w:id="8"/>
    </w:p>
    <w:p w14:paraId="165D839E" w14:textId="77777777" w:rsidR="00F27716" w:rsidRPr="00700000" w:rsidRDefault="00F27716" w:rsidP="00F27716"/>
    <w:p w14:paraId="1C8F0D4E" w14:textId="6B01A595" w:rsidR="00F27716" w:rsidRDefault="00F27716" w:rsidP="00F27716">
      <w:r>
        <w:t>MaineDOT procures vehicle types to meet the identified need for the vehicle, service geography</w:t>
      </w:r>
      <w:r w:rsidR="002216F8">
        <w:t>,</w:t>
      </w:r>
      <w:r>
        <w:t xml:space="preserve"> and ability to maintain the vehicle. Vehicle categories range from Van to Ferry Boat. Each vehicle category is designated with a minimal useful life taken from FTA Circular 5010.1E. Below, Table 1 shows the criteria used by MaineDOT to classify Rolling Stock and Non-Revenue Vehicle Equipment applying Useful Life and Useful Mileage performance measures. </w:t>
      </w:r>
    </w:p>
    <w:p w14:paraId="36FE390F" w14:textId="0B51C7A5" w:rsidR="00F27716" w:rsidRDefault="00F27716" w:rsidP="00F27716"/>
    <w:p w14:paraId="51DFD87A" w14:textId="3BD7AB57" w:rsidR="00F27716" w:rsidRDefault="00F27716" w:rsidP="00493F14">
      <w:pPr>
        <w:ind w:left="0" w:firstLine="270"/>
        <w:rPr>
          <w:b/>
        </w:rPr>
      </w:pPr>
      <w:r w:rsidRPr="00700000">
        <w:rPr>
          <w:b/>
        </w:rPr>
        <w:t xml:space="preserve">Table </w:t>
      </w:r>
      <w:r>
        <w:rPr>
          <w:b/>
        </w:rPr>
        <w:t>1</w:t>
      </w:r>
      <w:r w:rsidR="00A24296">
        <w:rPr>
          <w:b/>
        </w:rPr>
        <w:t xml:space="preserve"> Rolling Stock Classifications</w:t>
      </w:r>
    </w:p>
    <w:p w14:paraId="5BD50D28" w14:textId="77777777" w:rsidR="001C234B" w:rsidRDefault="001C234B" w:rsidP="00493F14">
      <w:pPr>
        <w:ind w:left="0" w:firstLine="270"/>
        <w:rPr>
          <w:b/>
        </w:rPr>
      </w:pPr>
    </w:p>
    <w:p w14:paraId="1380ACF8" w14:textId="67B646CF" w:rsidR="00F27716" w:rsidRDefault="00F27716" w:rsidP="00F27716">
      <w:pPr>
        <w:jc w:val="center"/>
        <w:rPr>
          <w:b/>
        </w:rPr>
      </w:pPr>
      <w:r w:rsidRPr="00F27716">
        <w:rPr>
          <w:noProof/>
        </w:rPr>
        <w:drawing>
          <wp:inline distT="0" distB="0" distL="0" distR="0" wp14:anchorId="4532CF45" wp14:editId="216777B7">
            <wp:extent cx="3838575" cy="1495425"/>
            <wp:effectExtent l="0" t="0" r="9525" b="9525"/>
            <wp:docPr id="53" name="Picture 53" descr="Table 1 Rolling Stock Class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able 1 Rolling Stock Classifica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1495425"/>
                    </a:xfrm>
                    <a:prstGeom prst="rect">
                      <a:avLst/>
                    </a:prstGeom>
                    <a:noFill/>
                    <a:ln>
                      <a:noFill/>
                    </a:ln>
                  </pic:spPr>
                </pic:pic>
              </a:graphicData>
            </a:graphic>
          </wp:inline>
        </w:drawing>
      </w:r>
    </w:p>
    <w:p w14:paraId="4A78681B" w14:textId="77777777" w:rsidR="00F27716" w:rsidRDefault="00F27716" w:rsidP="00F27716">
      <w:pPr>
        <w:jc w:val="center"/>
        <w:rPr>
          <w:b/>
        </w:rPr>
      </w:pPr>
    </w:p>
    <w:p w14:paraId="083EAEA0" w14:textId="3629503C" w:rsidR="00F27716" w:rsidRDefault="00F27716" w:rsidP="00F27716">
      <w:pPr>
        <w:jc w:val="center"/>
        <w:rPr>
          <w:b/>
        </w:rPr>
      </w:pPr>
      <w:r w:rsidRPr="00F27716">
        <w:rPr>
          <w:noProof/>
        </w:rPr>
        <w:drawing>
          <wp:inline distT="0" distB="0" distL="0" distR="0" wp14:anchorId="40689F4A" wp14:editId="73C11207">
            <wp:extent cx="3838575" cy="9334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933450"/>
                    </a:xfrm>
                    <a:prstGeom prst="rect">
                      <a:avLst/>
                    </a:prstGeom>
                    <a:noFill/>
                    <a:ln>
                      <a:noFill/>
                    </a:ln>
                  </pic:spPr>
                </pic:pic>
              </a:graphicData>
            </a:graphic>
          </wp:inline>
        </w:drawing>
      </w:r>
    </w:p>
    <w:p w14:paraId="67BDE94B" w14:textId="77777777" w:rsidR="00F27716" w:rsidRDefault="00F27716" w:rsidP="00F27716">
      <w:pPr>
        <w:jc w:val="center"/>
        <w:rPr>
          <w:b/>
        </w:rPr>
      </w:pPr>
    </w:p>
    <w:p w14:paraId="7BABD2C9" w14:textId="5718419F" w:rsidR="00F27716" w:rsidRPr="00700000" w:rsidRDefault="00F27716" w:rsidP="00F27716">
      <w:pPr>
        <w:jc w:val="center"/>
        <w:rPr>
          <w:b/>
        </w:rPr>
      </w:pPr>
      <w:r w:rsidRPr="00F27716">
        <w:rPr>
          <w:noProof/>
        </w:rPr>
        <w:drawing>
          <wp:inline distT="0" distB="0" distL="0" distR="0" wp14:anchorId="6829546B" wp14:editId="1B248F9A">
            <wp:extent cx="3095625" cy="10953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1095375"/>
                    </a:xfrm>
                    <a:prstGeom prst="rect">
                      <a:avLst/>
                    </a:prstGeom>
                    <a:noFill/>
                    <a:ln>
                      <a:noFill/>
                    </a:ln>
                  </pic:spPr>
                </pic:pic>
              </a:graphicData>
            </a:graphic>
          </wp:inline>
        </w:drawing>
      </w:r>
    </w:p>
    <w:p w14:paraId="657EE3F0" w14:textId="4FFB694B" w:rsidR="00F27716" w:rsidRDefault="00F27716" w:rsidP="00F27716">
      <w:pPr>
        <w:rPr>
          <w:lang w:bidi="en-US"/>
        </w:rPr>
      </w:pPr>
    </w:p>
    <w:p w14:paraId="3E6263BC" w14:textId="1C33A327" w:rsidR="00F27716" w:rsidRDefault="00F27716" w:rsidP="00F27716">
      <w:pPr>
        <w:rPr>
          <w:lang w:bidi="en-US"/>
        </w:rPr>
      </w:pPr>
      <w:r w:rsidRPr="00F27716">
        <w:rPr>
          <w:lang w:bidi="en-US"/>
        </w:rPr>
        <w:t xml:space="preserve">The systems </w:t>
      </w:r>
      <w:r>
        <w:rPr>
          <w:lang w:bidi="en-US"/>
        </w:rPr>
        <w:t xml:space="preserve">listed in Table 2 </w:t>
      </w:r>
      <w:r w:rsidRPr="00F27716">
        <w:rPr>
          <w:lang w:bidi="en-US"/>
        </w:rPr>
        <w:t>vary from demand response, flex route, ferry, and intercity feeder service modes. The Maine State Ferry Service (MSFS) is owned and managed by MaineDOT. The 12 other participating systems are sub-recipients of FTA 5311 funds and include all MaineDOT FTA 5310 sub-recipients. In addition, MaineDOT owns docking assets used by the Casco Bay Island Transit District (CBITD), which is a direct recipient of FTA funds. The State-owned assets are included in this Plan; all other CBITD assets are included in a separate Plan.</w:t>
      </w:r>
      <w:r>
        <w:rPr>
          <w:lang w:bidi="en-US"/>
        </w:rPr>
        <w:t xml:space="preserve"> </w:t>
      </w:r>
      <w:r w:rsidRPr="00F27716">
        <w:rPr>
          <w:lang w:bidi="en-US"/>
        </w:rPr>
        <w:t>A detailed listing of all capital assets included in this plan is located in Appendix 1.</w:t>
      </w:r>
    </w:p>
    <w:p w14:paraId="08274008" w14:textId="77777777" w:rsidR="00F27716" w:rsidRPr="00F27716" w:rsidRDefault="00F27716" w:rsidP="00F27716">
      <w:pPr>
        <w:rPr>
          <w:lang w:bidi="en-US"/>
        </w:rPr>
      </w:pPr>
    </w:p>
    <w:p w14:paraId="6FB46342" w14:textId="252E58E2" w:rsidR="00700000" w:rsidRDefault="005A4B30" w:rsidP="008639D9">
      <w:r>
        <w:t xml:space="preserve"> </w:t>
      </w:r>
    </w:p>
    <w:p w14:paraId="36728597" w14:textId="77777777" w:rsidR="002A0667" w:rsidRDefault="002A0667">
      <w:pPr>
        <w:spacing w:after="200" w:line="276" w:lineRule="auto"/>
        <w:ind w:left="0"/>
        <w:rPr>
          <w:b/>
        </w:rPr>
      </w:pPr>
      <w:r>
        <w:rPr>
          <w:b/>
        </w:rPr>
        <w:br w:type="page"/>
      </w:r>
    </w:p>
    <w:p w14:paraId="7650C7FF" w14:textId="1766AE98" w:rsidR="00700000" w:rsidRDefault="00CC1B07" w:rsidP="00880998">
      <w:pPr>
        <w:rPr>
          <w:b/>
        </w:rPr>
      </w:pPr>
      <w:r w:rsidRPr="00700000">
        <w:rPr>
          <w:b/>
        </w:rPr>
        <w:lastRenderedPageBreak/>
        <w:t xml:space="preserve">Table </w:t>
      </w:r>
      <w:r w:rsidR="00F27716">
        <w:rPr>
          <w:b/>
        </w:rPr>
        <w:t>2</w:t>
      </w:r>
      <w:r w:rsidRPr="00700000">
        <w:rPr>
          <w:b/>
        </w:rPr>
        <w:t xml:space="preserve"> </w:t>
      </w:r>
      <w:bookmarkStart w:id="9" w:name="_Toc502858426"/>
      <w:r w:rsidR="00A24296" w:rsidRPr="00310323">
        <w:rPr>
          <w:b/>
        </w:rPr>
        <w:t>Rolling Stock and Non-Revenue Vehicle</w:t>
      </w:r>
      <w:r w:rsidR="000C50C4">
        <w:rPr>
          <w:b/>
        </w:rPr>
        <w:t>s</w:t>
      </w:r>
      <w:r w:rsidR="00A24296" w:rsidRPr="00310323">
        <w:rPr>
          <w:b/>
        </w:rPr>
        <w:t xml:space="preserve"> </w:t>
      </w:r>
      <w:r w:rsidR="00A24296">
        <w:rPr>
          <w:b/>
        </w:rPr>
        <w:t>by Provider</w:t>
      </w:r>
    </w:p>
    <w:p w14:paraId="5944C8BF" w14:textId="77777777" w:rsidR="001C234B" w:rsidRDefault="001C234B" w:rsidP="00880998">
      <w:pPr>
        <w:rPr>
          <w:b/>
        </w:rPr>
      </w:pPr>
    </w:p>
    <w:tbl>
      <w:tblPr>
        <w:tblW w:w="9205" w:type="dxa"/>
        <w:jc w:val="center"/>
        <w:tblLook w:val="04A0" w:firstRow="1" w:lastRow="0" w:firstColumn="1" w:lastColumn="0" w:noHBand="0" w:noVBand="1"/>
      </w:tblPr>
      <w:tblGrid>
        <w:gridCol w:w="1926"/>
        <w:gridCol w:w="1039"/>
        <w:gridCol w:w="1040"/>
        <w:gridCol w:w="1040"/>
        <w:gridCol w:w="1040"/>
        <w:gridCol w:w="1040"/>
        <w:gridCol w:w="1040"/>
        <w:gridCol w:w="1040"/>
      </w:tblGrid>
      <w:tr w:rsidR="00937C11" w:rsidRPr="00937C11" w14:paraId="59BE7AEB" w14:textId="77777777" w:rsidTr="00A261F7">
        <w:trPr>
          <w:trHeight w:val="300"/>
          <w:jc w:val="center"/>
        </w:trPr>
        <w:tc>
          <w:tcPr>
            <w:tcW w:w="6440" w:type="dxa"/>
            <w:gridSpan w:val="7"/>
            <w:tcBorders>
              <w:top w:val="nil"/>
              <w:left w:val="nil"/>
              <w:bottom w:val="nil"/>
              <w:right w:val="nil"/>
            </w:tcBorders>
            <w:shd w:val="clear" w:color="auto" w:fill="auto"/>
            <w:noWrap/>
            <w:vAlign w:val="bottom"/>
            <w:hideMark/>
          </w:tcPr>
          <w:p w14:paraId="3D0ECAAE" w14:textId="77777777" w:rsidR="00A261F7" w:rsidRDefault="00A261F7" w:rsidP="00A261F7">
            <w:pPr>
              <w:spacing w:line="240" w:lineRule="auto"/>
              <w:ind w:left="0"/>
              <w:jc w:val="center"/>
              <w:rPr>
                <w:rFonts w:ascii="Calibri" w:eastAsia="Times New Roman" w:hAnsi="Calibri" w:cs="Calibri"/>
                <w:b/>
                <w:bCs/>
                <w:color w:val="000000"/>
              </w:rPr>
            </w:pPr>
          </w:p>
          <w:p w14:paraId="74CB44B2" w14:textId="7904827C" w:rsidR="00937C11" w:rsidRPr="00937C11" w:rsidRDefault="00937C11" w:rsidP="00A261F7">
            <w:pPr>
              <w:spacing w:line="240" w:lineRule="auto"/>
              <w:ind w:left="0"/>
              <w:jc w:val="center"/>
              <w:rPr>
                <w:rFonts w:ascii="Calibri" w:eastAsia="Times New Roman" w:hAnsi="Calibri" w:cs="Calibri"/>
                <w:b/>
                <w:bCs/>
                <w:color w:val="000000"/>
              </w:rPr>
            </w:pPr>
            <w:r w:rsidRPr="00937C11">
              <w:rPr>
                <w:rFonts w:ascii="Calibri" w:eastAsia="Times New Roman" w:hAnsi="Calibri" w:cs="Calibri"/>
                <w:b/>
                <w:bCs/>
                <w:color w:val="000000"/>
              </w:rPr>
              <w:t>Table 2 Rolling Stock and Non-Revenue Veh</w:t>
            </w:r>
            <w:r w:rsidR="003A3CDE">
              <w:rPr>
                <w:rFonts w:ascii="Calibri" w:eastAsia="Times New Roman" w:hAnsi="Calibri" w:cs="Calibri"/>
                <w:b/>
                <w:bCs/>
                <w:color w:val="000000"/>
              </w:rPr>
              <w:t>i</w:t>
            </w:r>
            <w:r w:rsidRPr="00937C11">
              <w:rPr>
                <w:rFonts w:ascii="Calibri" w:eastAsia="Times New Roman" w:hAnsi="Calibri" w:cs="Calibri"/>
                <w:b/>
                <w:bCs/>
                <w:color w:val="000000"/>
              </w:rPr>
              <w:t>cles by Provider</w:t>
            </w:r>
          </w:p>
        </w:tc>
        <w:tc>
          <w:tcPr>
            <w:tcW w:w="820" w:type="dxa"/>
            <w:tcBorders>
              <w:top w:val="nil"/>
              <w:left w:val="nil"/>
              <w:bottom w:val="nil"/>
              <w:right w:val="nil"/>
            </w:tcBorders>
            <w:shd w:val="clear" w:color="auto" w:fill="auto"/>
            <w:noWrap/>
            <w:vAlign w:val="bottom"/>
            <w:hideMark/>
          </w:tcPr>
          <w:p w14:paraId="35174BAA" w14:textId="77777777" w:rsidR="00937C11" w:rsidRPr="00937C11" w:rsidRDefault="00937C11" w:rsidP="00937C11">
            <w:pPr>
              <w:spacing w:line="240" w:lineRule="auto"/>
              <w:ind w:left="0"/>
              <w:rPr>
                <w:rFonts w:ascii="Calibri" w:eastAsia="Times New Roman" w:hAnsi="Calibri" w:cs="Calibri"/>
                <w:b/>
                <w:bCs/>
                <w:color w:val="000000"/>
              </w:rPr>
            </w:pPr>
          </w:p>
        </w:tc>
      </w:tr>
      <w:tr w:rsidR="003C506F" w:rsidRPr="00937C11" w14:paraId="77C0CFB5" w14:textId="77777777" w:rsidTr="00A261F7">
        <w:trPr>
          <w:trHeight w:val="300"/>
          <w:jc w:val="center"/>
        </w:trPr>
        <w:tc>
          <w:tcPr>
            <w:tcW w:w="6440" w:type="dxa"/>
            <w:gridSpan w:val="7"/>
            <w:tcBorders>
              <w:top w:val="nil"/>
              <w:left w:val="nil"/>
              <w:bottom w:val="nil"/>
              <w:right w:val="nil"/>
            </w:tcBorders>
            <w:shd w:val="clear" w:color="auto" w:fill="auto"/>
            <w:noWrap/>
            <w:vAlign w:val="bottom"/>
          </w:tcPr>
          <w:p w14:paraId="38E7B3D8" w14:textId="77777777" w:rsidR="003C506F" w:rsidRDefault="003C506F" w:rsidP="00A261F7">
            <w:pPr>
              <w:spacing w:line="240" w:lineRule="auto"/>
              <w:ind w:left="0"/>
              <w:jc w:val="cente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tcPr>
          <w:p w14:paraId="2BEB2A41" w14:textId="77777777" w:rsidR="003C506F" w:rsidRPr="00937C11" w:rsidRDefault="003C506F" w:rsidP="00937C11">
            <w:pPr>
              <w:spacing w:line="240" w:lineRule="auto"/>
              <w:ind w:left="0"/>
              <w:rPr>
                <w:rFonts w:ascii="Calibri" w:eastAsia="Times New Roman" w:hAnsi="Calibri" w:cs="Calibri"/>
                <w:b/>
                <w:bCs/>
                <w:color w:val="000000"/>
              </w:rPr>
            </w:pPr>
          </w:p>
        </w:tc>
      </w:tr>
      <w:tr w:rsidR="00937C11" w:rsidRPr="00937C11" w14:paraId="3CECE68E" w14:textId="77777777" w:rsidTr="00A261F7">
        <w:trPr>
          <w:trHeight w:val="300"/>
          <w:jc w:val="center"/>
        </w:trPr>
        <w:tc>
          <w:tcPr>
            <w:tcW w:w="7260" w:type="dxa"/>
            <w:gridSpan w:val="8"/>
            <w:tcBorders>
              <w:top w:val="single" w:sz="4" w:space="0" w:color="auto"/>
              <w:left w:val="single" w:sz="4" w:space="0" w:color="auto"/>
              <w:bottom w:val="single" w:sz="4" w:space="0" w:color="auto"/>
              <w:right w:val="nil"/>
            </w:tcBorders>
            <w:shd w:val="clear" w:color="000000" w:fill="0070C0"/>
            <w:noWrap/>
            <w:vAlign w:val="bottom"/>
            <w:hideMark/>
          </w:tcPr>
          <w:p w14:paraId="7B7E721E"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ROLLING STOCK</w:t>
            </w:r>
          </w:p>
        </w:tc>
      </w:tr>
      <w:tr w:rsidR="00937C11" w:rsidRPr="00937C11" w14:paraId="1F8B52F3" w14:textId="77777777" w:rsidTr="00A261F7">
        <w:trPr>
          <w:trHeight w:val="600"/>
          <w:jc w:val="center"/>
        </w:trPr>
        <w:tc>
          <w:tcPr>
            <w:tcW w:w="1520" w:type="dxa"/>
            <w:tcBorders>
              <w:top w:val="nil"/>
              <w:left w:val="single" w:sz="4" w:space="0" w:color="auto"/>
              <w:bottom w:val="single" w:sz="4" w:space="0" w:color="auto"/>
              <w:right w:val="single" w:sz="4" w:space="0" w:color="auto"/>
            </w:tcBorders>
            <w:shd w:val="clear" w:color="000000" w:fill="0070C0"/>
            <w:vAlign w:val="bottom"/>
            <w:hideMark/>
          </w:tcPr>
          <w:p w14:paraId="6755A096" w14:textId="77777777" w:rsidR="00937C11" w:rsidRPr="00937C11" w:rsidRDefault="00937C11" w:rsidP="00937C11">
            <w:pPr>
              <w:spacing w:line="240" w:lineRule="auto"/>
              <w:ind w:left="0"/>
              <w:rPr>
                <w:rFonts w:ascii="Calibri" w:eastAsia="Times New Roman" w:hAnsi="Calibri" w:cs="Calibri"/>
                <w:color w:val="FFFFFF"/>
              </w:rPr>
            </w:pPr>
            <w:r w:rsidRPr="00937C11">
              <w:rPr>
                <w:rFonts w:ascii="Calibri" w:eastAsia="Times New Roman" w:hAnsi="Calibri" w:cs="Calibri"/>
                <w:color w:val="FFFFFF"/>
              </w:rPr>
              <w:t>Provider /Vehicle Type</w:t>
            </w:r>
          </w:p>
        </w:tc>
        <w:tc>
          <w:tcPr>
            <w:tcW w:w="820" w:type="dxa"/>
            <w:tcBorders>
              <w:top w:val="nil"/>
              <w:left w:val="nil"/>
              <w:bottom w:val="single" w:sz="4" w:space="0" w:color="auto"/>
              <w:right w:val="single" w:sz="4" w:space="0" w:color="auto"/>
            </w:tcBorders>
            <w:shd w:val="clear" w:color="000000" w:fill="0070C0"/>
            <w:vAlign w:val="bottom"/>
            <w:hideMark/>
          </w:tcPr>
          <w:p w14:paraId="5AFE93E0"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V</w:t>
            </w:r>
          </w:p>
        </w:tc>
        <w:tc>
          <w:tcPr>
            <w:tcW w:w="820" w:type="dxa"/>
            <w:tcBorders>
              <w:top w:val="nil"/>
              <w:left w:val="nil"/>
              <w:bottom w:val="single" w:sz="4" w:space="0" w:color="auto"/>
              <w:right w:val="single" w:sz="4" w:space="0" w:color="auto"/>
            </w:tcBorders>
            <w:shd w:val="clear" w:color="000000" w:fill="0070C0"/>
            <w:vAlign w:val="bottom"/>
            <w:hideMark/>
          </w:tcPr>
          <w:p w14:paraId="737BDC1A"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LDB</w:t>
            </w:r>
          </w:p>
        </w:tc>
        <w:tc>
          <w:tcPr>
            <w:tcW w:w="820" w:type="dxa"/>
            <w:tcBorders>
              <w:top w:val="nil"/>
              <w:left w:val="nil"/>
              <w:bottom w:val="single" w:sz="4" w:space="0" w:color="auto"/>
              <w:right w:val="single" w:sz="4" w:space="0" w:color="auto"/>
            </w:tcBorders>
            <w:shd w:val="clear" w:color="000000" w:fill="0070C0"/>
            <w:vAlign w:val="bottom"/>
            <w:hideMark/>
          </w:tcPr>
          <w:p w14:paraId="71B7C894"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SMDB</w:t>
            </w:r>
          </w:p>
        </w:tc>
        <w:tc>
          <w:tcPr>
            <w:tcW w:w="820" w:type="dxa"/>
            <w:tcBorders>
              <w:top w:val="nil"/>
              <w:left w:val="nil"/>
              <w:bottom w:val="single" w:sz="4" w:space="0" w:color="auto"/>
              <w:right w:val="single" w:sz="4" w:space="0" w:color="auto"/>
            </w:tcBorders>
            <w:shd w:val="clear" w:color="000000" w:fill="0070C0"/>
            <w:vAlign w:val="bottom"/>
            <w:hideMark/>
          </w:tcPr>
          <w:p w14:paraId="3296CEC7"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MHDB</w:t>
            </w:r>
          </w:p>
        </w:tc>
        <w:tc>
          <w:tcPr>
            <w:tcW w:w="820" w:type="dxa"/>
            <w:tcBorders>
              <w:top w:val="nil"/>
              <w:left w:val="nil"/>
              <w:bottom w:val="single" w:sz="4" w:space="0" w:color="auto"/>
              <w:right w:val="single" w:sz="4" w:space="0" w:color="auto"/>
            </w:tcBorders>
            <w:shd w:val="clear" w:color="000000" w:fill="0070C0"/>
            <w:vAlign w:val="bottom"/>
            <w:hideMark/>
          </w:tcPr>
          <w:p w14:paraId="5E876941"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SHDB</w:t>
            </w:r>
          </w:p>
        </w:tc>
        <w:tc>
          <w:tcPr>
            <w:tcW w:w="820" w:type="dxa"/>
            <w:tcBorders>
              <w:top w:val="nil"/>
              <w:left w:val="nil"/>
              <w:bottom w:val="single" w:sz="4" w:space="0" w:color="auto"/>
              <w:right w:val="single" w:sz="4" w:space="0" w:color="auto"/>
            </w:tcBorders>
            <w:shd w:val="clear" w:color="000000" w:fill="0070C0"/>
            <w:vAlign w:val="bottom"/>
            <w:hideMark/>
          </w:tcPr>
          <w:p w14:paraId="0BDDCEF7"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FERRY</w:t>
            </w:r>
          </w:p>
        </w:tc>
        <w:tc>
          <w:tcPr>
            <w:tcW w:w="820" w:type="dxa"/>
            <w:tcBorders>
              <w:top w:val="nil"/>
              <w:left w:val="nil"/>
              <w:bottom w:val="single" w:sz="4" w:space="0" w:color="auto"/>
              <w:right w:val="single" w:sz="4" w:space="0" w:color="auto"/>
            </w:tcBorders>
            <w:shd w:val="clear" w:color="000000" w:fill="0070C0"/>
            <w:vAlign w:val="bottom"/>
            <w:hideMark/>
          </w:tcPr>
          <w:p w14:paraId="57597FDE" w14:textId="77777777" w:rsidR="00937C11" w:rsidRPr="00937C11" w:rsidRDefault="00937C11" w:rsidP="00937C11">
            <w:pPr>
              <w:spacing w:line="240" w:lineRule="auto"/>
              <w:ind w:left="0"/>
              <w:jc w:val="center"/>
              <w:rPr>
                <w:rFonts w:ascii="Calibri" w:eastAsia="Times New Roman" w:hAnsi="Calibri" w:cs="Calibri"/>
                <w:color w:val="FFFFFF"/>
              </w:rPr>
            </w:pPr>
            <w:r w:rsidRPr="00937C11">
              <w:rPr>
                <w:rFonts w:ascii="Calibri" w:eastAsia="Times New Roman" w:hAnsi="Calibri" w:cs="Calibri"/>
                <w:color w:val="FFFFFF"/>
              </w:rPr>
              <w:t>Total</w:t>
            </w:r>
          </w:p>
        </w:tc>
      </w:tr>
      <w:tr w:rsidR="00937C11" w:rsidRPr="00937C11" w14:paraId="06B8756B"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EF9EBF3"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ARTS</w:t>
            </w:r>
          </w:p>
        </w:tc>
        <w:tc>
          <w:tcPr>
            <w:tcW w:w="820" w:type="dxa"/>
            <w:tcBorders>
              <w:top w:val="nil"/>
              <w:left w:val="nil"/>
              <w:bottom w:val="single" w:sz="4" w:space="0" w:color="auto"/>
              <w:right w:val="single" w:sz="4" w:space="0" w:color="auto"/>
            </w:tcBorders>
            <w:shd w:val="clear" w:color="auto" w:fill="auto"/>
            <w:noWrap/>
            <w:vAlign w:val="bottom"/>
            <w:hideMark/>
          </w:tcPr>
          <w:p w14:paraId="14DDA18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158B2A4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16E215B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7A6846ED"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0D75E172"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E5682E4"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57E852A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21</w:t>
            </w:r>
          </w:p>
        </w:tc>
      </w:tr>
      <w:tr w:rsidR="00937C11" w:rsidRPr="00937C11" w14:paraId="454A97FE"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D7D30AE"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BATH</w:t>
            </w:r>
          </w:p>
        </w:tc>
        <w:tc>
          <w:tcPr>
            <w:tcW w:w="820" w:type="dxa"/>
            <w:tcBorders>
              <w:top w:val="nil"/>
              <w:left w:val="nil"/>
              <w:bottom w:val="single" w:sz="4" w:space="0" w:color="auto"/>
              <w:right w:val="single" w:sz="4" w:space="0" w:color="auto"/>
            </w:tcBorders>
            <w:shd w:val="clear" w:color="auto" w:fill="auto"/>
            <w:noWrap/>
            <w:vAlign w:val="bottom"/>
            <w:hideMark/>
          </w:tcPr>
          <w:p w14:paraId="76C186DB"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95F854D"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6089E404"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4FD4FD6"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4EC8B2D"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1A40D4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D9EEF2F"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w:t>
            </w:r>
          </w:p>
        </w:tc>
      </w:tr>
      <w:tr w:rsidR="00937C11" w:rsidRPr="00937C11" w14:paraId="2598CF69"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9B5D4C5"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DCP</w:t>
            </w:r>
          </w:p>
        </w:tc>
        <w:tc>
          <w:tcPr>
            <w:tcW w:w="820" w:type="dxa"/>
            <w:tcBorders>
              <w:top w:val="nil"/>
              <w:left w:val="nil"/>
              <w:bottom w:val="single" w:sz="4" w:space="0" w:color="auto"/>
              <w:right w:val="single" w:sz="4" w:space="0" w:color="auto"/>
            </w:tcBorders>
            <w:shd w:val="clear" w:color="auto" w:fill="auto"/>
            <w:noWrap/>
            <w:vAlign w:val="bottom"/>
            <w:hideMark/>
          </w:tcPr>
          <w:p w14:paraId="2FB0802E"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21322CCB"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14:paraId="1CED378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5378BA7E"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59975C4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EBCB85D"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48F978B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27</w:t>
            </w:r>
          </w:p>
        </w:tc>
      </w:tr>
      <w:tr w:rsidR="00937C11" w:rsidRPr="00937C11" w14:paraId="27C3CD37"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259BB32"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DTI</w:t>
            </w:r>
          </w:p>
        </w:tc>
        <w:tc>
          <w:tcPr>
            <w:tcW w:w="820" w:type="dxa"/>
            <w:tcBorders>
              <w:top w:val="nil"/>
              <w:left w:val="nil"/>
              <w:bottom w:val="single" w:sz="4" w:space="0" w:color="auto"/>
              <w:right w:val="single" w:sz="4" w:space="0" w:color="auto"/>
            </w:tcBorders>
            <w:shd w:val="clear" w:color="auto" w:fill="auto"/>
            <w:noWrap/>
            <w:vAlign w:val="bottom"/>
            <w:hideMark/>
          </w:tcPr>
          <w:p w14:paraId="776F5503"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051D4B01"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4FD3230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35</w:t>
            </w:r>
          </w:p>
        </w:tc>
        <w:tc>
          <w:tcPr>
            <w:tcW w:w="820" w:type="dxa"/>
            <w:tcBorders>
              <w:top w:val="nil"/>
              <w:left w:val="nil"/>
              <w:bottom w:val="single" w:sz="4" w:space="0" w:color="auto"/>
              <w:right w:val="single" w:sz="4" w:space="0" w:color="auto"/>
            </w:tcBorders>
            <w:shd w:val="clear" w:color="auto" w:fill="auto"/>
            <w:noWrap/>
            <w:vAlign w:val="bottom"/>
            <w:hideMark/>
          </w:tcPr>
          <w:p w14:paraId="71F3B030"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25</w:t>
            </w:r>
          </w:p>
        </w:tc>
        <w:tc>
          <w:tcPr>
            <w:tcW w:w="820" w:type="dxa"/>
            <w:tcBorders>
              <w:top w:val="nil"/>
              <w:left w:val="nil"/>
              <w:bottom w:val="single" w:sz="4" w:space="0" w:color="auto"/>
              <w:right w:val="single" w:sz="4" w:space="0" w:color="auto"/>
            </w:tcBorders>
            <w:shd w:val="clear" w:color="auto" w:fill="auto"/>
            <w:noWrap/>
            <w:vAlign w:val="bottom"/>
            <w:hideMark/>
          </w:tcPr>
          <w:p w14:paraId="2CBB09D0"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1E744B74"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6E7F614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68</w:t>
            </w:r>
          </w:p>
        </w:tc>
      </w:tr>
      <w:tr w:rsidR="00937C11" w:rsidRPr="00937C11" w14:paraId="3541A17A"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DA48A87"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KVCAP</w:t>
            </w:r>
          </w:p>
        </w:tc>
        <w:tc>
          <w:tcPr>
            <w:tcW w:w="820" w:type="dxa"/>
            <w:tcBorders>
              <w:top w:val="nil"/>
              <w:left w:val="nil"/>
              <w:bottom w:val="single" w:sz="4" w:space="0" w:color="auto"/>
              <w:right w:val="single" w:sz="4" w:space="0" w:color="auto"/>
            </w:tcBorders>
            <w:shd w:val="clear" w:color="auto" w:fill="auto"/>
            <w:noWrap/>
            <w:vAlign w:val="bottom"/>
            <w:hideMark/>
          </w:tcPr>
          <w:p w14:paraId="4C6324D3"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12888CF2"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14:paraId="1B93CEA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106C5D2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83E4B48"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8DABFC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AFC1F1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47</w:t>
            </w:r>
          </w:p>
        </w:tc>
      </w:tr>
      <w:tr w:rsidR="00937C11" w:rsidRPr="00937C11" w14:paraId="590EFCCB"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1DCA35B"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PENQUIS</w:t>
            </w:r>
          </w:p>
        </w:tc>
        <w:tc>
          <w:tcPr>
            <w:tcW w:w="820" w:type="dxa"/>
            <w:tcBorders>
              <w:top w:val="nil"/>
              <w:left w:val="nil"/>
              <w:bottom w:val="single" w:sz="4" w:space="0" w:color="auto"/>
              <w:right w:val="single" w:sz="4" w:space="0" w:color="auto"/>
            </w:tcBorders>
            <w:shd w:val="clear" w:color="auto" w:fill="auto"/>
            <w:noWrap/>
            <w:vAlign w:val="bottom"/>
            <w:hideMark/>
          </w:tcPr>
          <w:p w14:paraId="7873B252"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23</w:t>
            </w:r>
          </w:p>
        </w:tc>
        <w:tc>
          <w:tcPr>
            <w:tcW w:w="820" w:type="dxa"/>
            <w:tcBorders>
              <w:top w:val="nil"/>
              <w:left w:val="nil"/>
              <w:bottom w:val="single" w:sz="4" w:space="0" w:color="auto"/>
              <w:right w:val="single" w:sz="4" w:space="0" w:color="auto"/>
            </w:tcBorders>
            <w:shd w:val="clear" w:color="auto" w:fill="auto"/>
            <w:noWrap/>
            <w:vAlign w:val="bottom"/>
            <w:hideMark/>
          </w:tcPr>
          <w:p w14:paraId="098CF2F2"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7F50EAD4"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5E4DBAB4"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6700769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7D33C1B"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DB58DD6"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26</w:t>
            </w:r>
          </w:p>
        </w:tc>
      </w:tr>
      <w:tr w:rsidR="00937C11" w:rsidRPr="00937C11" w14:paraId="2330EF50"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F04DE79"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RTP</w:t>
            </w:r>
          </w:p>
        </w:tc>
        <w:tc>
          <w:tcPr>
            <w:tcW w:w="820" w:type="dxa"/>
            <w:tcBorders>
              <w:top w:val="nil"/>
              <w:left w:val="nil"/>
              <w:bottom w:val="single" w:sz="4" w:space="0" w:color="auto"/>
              <w:right w:val="single" w:sz="4" w:space="0" w:color="auto"/>
            </w:tcBorders>
            <w:shd w:val="clear" w:color="auto" w:fill="auto"/>
            <w:noWrap/>
            <w:vAlign w:val="bottom"/>
            <w:hideMark/>
          </w:tcPr>
          <w:p w14:paraId="68D7A2EB"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3391FED8"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02EA6669"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756777A0"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D6518C9"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4A74918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5002FA6"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26</w:t>
            </w:r>
          </w:p>
        </w:tc>
      </w:tr>
      <w:tr w:rsidR="00937C11" w:rsidRPr="00937C11" w14:paraId="3B44E69B"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7599B38"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WCAP</w:t>
            </w:r>
          </w:p>
        </w:tc>
        <w:tc>
          <w:tcPr>
            <w:tcW w:w="820" w:type="dxa"/>
            <w:tcBorders>
              <w:top w:val="nil"/>
              <w:left w:val="nil"/>
              <w:bottom w:val="single" w:sz="4" w:space="0" w:color="auto"/>
              <w:right w:val="single" w:sz="4" w:space="0" w:color="auto"/>
            </w:tcBorders>
            <w:shd w:val="clear" w:color="auto" w:fill="auto"/>
            <w:noWrap/>
            <w:vAlign w:val="bottom"/>
            <w:hideMark/>
          </w:tcPr>
          <w:p w14:paraId="33A46DF0"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14:paraId="461A6BAD"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7EA19D5E"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91F10F8"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57DAAA46"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AC31166"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87F6B52"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30</w:t>
            </w:r>
          </w:p>
        </w:tc>
      </w:tr>
      <w:tr w:rsidR="00937C11" w:rsidRPr="00937C11" w14:paraId="23EE7B90"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D4F9C87"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WEST'S</w:t>
            </w:r>
          </w:p>
        </w:tc>
        <w:tc>
          <w:tcPr>
            <w:tcW w:w="820" w:type="dxa"/>
            <w:tcBorders>
              <w:top w:val="nil"/>
              <w:left w:val="nil"/>
              <w:bottom w:val="single" w:sz="4" w:space="0" w:color="auto"/>
              <w:right w:val="single" w:sz="4" w:space="0" w:color="auto"/>
            </w:tcBorders>
            <w:shd w:val="clear" w:color="auto" w:fill="auto"/>
            <w:noWrap/>
            <w:vAlign w:val="bottom"/>
            <w:hideMark/>
          </w:tcPr>
          <w:p w14:paraId="5234C72D"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4DC9E4E9"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555F9722"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4F35E10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61076033"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302725F"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3FEA8B4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7</w:t>
            </w:r>
          </w:p>
        </w:tc>
      </w:tr>
      <w:tr w:rsidR="00937C11" w:rsidRPr="00937C11" w14:paraId="363BED20"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F070973"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WMTS</w:t>
            </w:r>
          </w:p>
        </w:tc>
        <w:tc>
          <w:tcPr>
            <w:tcW w:w="820" w:type="dxa"/>
            <w:tcBorders>
              <w:top w:val="nil"/>
              <w:left w:val="nil"/>
              <w:bottom w:val="single" w:sz="4" w:space="0" w:color="auto"/>
              <w:right w:val="single" w:sz="4" w:space="0" w:color="auto"/>
            </w:tcBorders>
            <w:shd w:val="clear" w:color="auto" w:fill="auto"/>
            <w:noWrap/>
            <w:vAlign w:val="bottom"/>
            <w:hideMark/>
          </w:tcPr>
          <w:p w14:paraId="1C0234DB"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1BB27241"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31</w:t>
            </w:r>
          </w:p>
        </w:tc>
        <w:tc>
          <w:tcPr>
            <w:tcW w:w="820" w:type="dxa"/>
            <w:tcBorders>
              <w:top w:val="nil"/>
              <w:left w:val="nil"/>
              <w:bottom w:val="single" w:sz="4" w:space="0" w:color="auto"/>
              <w:right w:val="single" w:sz="4" w:space="0" w:color="auto"/>
            </w:tcBorders>
            <w:shd w:val="clear" w:color="auto" w:fill="auto"/>
            <w:noWrap/>
            <w:vAlign w:val="bottom"/>
            <w:hideMark/>
          </w:tcPr>
          <w:p w14:paraId="27D5E009"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53008A7E"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56CDD9B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3226286F"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CE9F3D3"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46</w:t>
            </w:r>
          </w:p>
        </w:tc>
      </w:tr>
      <w:tr w:rsidR="00937C11" w:rsidRPr="00937C11" w14:paraId="57C912B9"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404A7B0"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YCCAC</w:t>
            </w:r>
          </w:p>
        </w:tc>
        <w:tc>
          <w:tcPr>
            <w:tcW w:w="820" w:type="dxa"/>
            <w:tcBorders>
              <w:top w:val="nil"/>
              <w:left w:val="nil"/>
              <w:bottom w:val="single" w:sz="4" w:space="0" w:color="auto"/>
              <w:right w:val="single" w:sz="4" w:space="0" w:color="auto"/>
            </w:tcBorders>
            <w:shd w:val="clear" w:color="auto" w:fill="auto"/>
            <w:noWrap/>
            <w:vAlign w:val="bottom"/>
            <w:hideMark/>
          </w:tcPr>
          <w:p w14:paraId="31A1D438"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2857348C"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14:paraId="3487AE49"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5435EEAD"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3412399E"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3A3922E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3CFD2D8B"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32</w:t>
            </w:r>
          </w:p>
        </w:tc>
      </w:tr>
      <w:tr w:rsidR="00937C11" w:rsidRPr="00937C11" w14:paraId="29556D6F"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7E02C41"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ISLE AU HAUT</w:t>
            </w:r>
          </w:p>
        </w:tc>
        <w:tc>
          <w:tcPr>
            <w:tcW w:w="820" w:type="dxa"/>
            <w:tcBorders>
              <w:top w:val="nil"/>
              <w:left w:val="nil"/>
              <w:bottom w:val="single" w:sz="4" w:space="0" w:color="auto"/>
              <w:right w:val="single" w:sz="4" w:space="0" w:color="auto"/>
            </w:tcBorders>
            <w:shd w:val="clear" w:color="auto" w:fill="auto"/>
            <w:noWrap/>
            <w:vAlign w:val="bottom"/>
            <w:hideMark/>
          </w:tcPr>
          <w:p w14:paraId="4E0EACC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4072F1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42A6C5FF"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306A16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006AB720"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8FFFDC6"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2FB762C8"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w:t>
            </w:r>
          </w:p>
        </w:tc>
      </w:tr>
      <w:tr w:rsidR="00937C11" w:rsidRPr="00937C11" w14:paraId="27AB924C"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D540431"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MSFS</w:t>
            </w:r>
          </w:p>
        </w:tc>
        <w:tc>
          <w:tcPr>
            <w:tcW w:w="820" w:type="dxa"/>
            <w:tcBorders>
              <w:top w:val="nil"/>
              <w:left w:val="nil"/>
              <w:bottom w:val="single" w:sz="4" w:space="0" w:color="auto"/>
              <w:right w:val="single" w:sz="4" w:space="0" w:color="auto"/>
            </w:tcBorders>
            <w:shd w:val="clear" w:color="auto" w:fill="auto"/>
            <w:noWrap/>
            <w:vAlign w:val="bottom"/>
            <w:hideMark/>
          </w:tcPr>
          <w:p w14:paraId="2B31AB39"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B827C94"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47F20F8F"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2C4BB9F7"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702A0A7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14:paraId="17E0CAAE"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25CC3F78"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7</w:t>
            </w:r>
          </w:p>
        </w:tc>
      </w:tr>
      <w:tr w:rsidR="00937C11" w:rsidRPr="00937C11" w14:paraId="3ABA6BA1" w14:textId="77777777" w:rsidTr="00A261F7">
        <w:trPr>
          <w:trHeight w:val="300"/>
          <w:jc w:val="center"/>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C182DD2" w14:textId="77777777" w:rsidR="00937C11" w:rsidRPr="00937C11" w:rsidRDefault="00937C11" w:rsidP="00937C11">
            <w:pPr>
              <w:spacing w:line="240" w:lineRule="auto"/>
              <w:ind w:left="0"/>
              <w:rPr>
                <w:rFonts w:ascii="Calibri" w:eastAsia="Times New Roman" w:hAnsi="Calibri" w:cs="Calibri"/>
                <w:color w:val="000000"/>
              </w:rPr>
            </w:pPr>
            <w:r w:rsidRPr="00937C11">
              <w:rPr>
                <w:rFonts w:ascii="Calibri" w:eastAsia="Times New Roman" w:hAnsi="Calibri" w:cs="Calibri"/>
                <w:color w:val="000000"/>
              </w:rPr>
              <w:t>TOTAL</w:t>
            </w:r>
          </w:p>
        </w:tc>
        <w:tc>
          <w:tcPr>
            <w:tcW w:w="820" w:type="dxa"/>
            <w:tcBorders>
              <w:top w:val="nil"/>
              <w:left w:val="nil"/>
              <w:bottom w:val="single" w:sz="4" w:space="0" w:color="auto"/>
              <w:right w:val="single" w:sz="4" w:space="0" w:color="auto"/>
            </w:tcBorders>
            <w:shd w:val="clear" w:color="auto" w:fill="auto"/>
            <w:noWrap/>
            <w:vAlign w:val="bottom"/>
            <w:hideMark/>
          </w:tcPr>
          <w:p w14:paraId="46A2C4AE"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114</w:t>
            </w:r>
          </w:p>
        </w:tc>
        <w:tc>
          <w:tcPr>
            <w:tcW w:w="820" w:type="dxa"/>
            <w:tcBorders>
              <w:top w:val="nil"/>
              <w:left w:val="nil"/>
              <w:bottom w:val="single" w:sz="4" w:space="0" w:color="auto"/>
              <w:right w:val="single" w:sz="4" w:space="0" w:color="auto"/>
            </w:tcBorders>
            <w:shd w:val="clear" w:color="auto" w:fill="auto"/>
            <w:noWrap/>
            <w:vAlign w:val="bottom"/>
            <w:hideMark/>
          </w:tcPr>
          <w:p w14:paraId="6D60168F"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109</w:t>
            </w:r>
          </w:p>
        </w:tc>
        <w:tc>
          <w:tcPr>
            <w:tcW w:w="820" w:type="dxa"/>
            <w:tcBorders>
              <w:top w:val="nil"/>
              <w:left w:val="nil"/>
              <w:bottom w:val="single" w:sz="4" w:space="0" w:color="auto"/>
              <w:right w:val="single" w:sz="4" w:space="0" w:color="auto"/>
            </w:tcBorders>
            <w:shd w:val="clear" w:color="auto" w:fill="auto"/>
            <w:noWrap/>
            <w:vAlign w:val="bottom"/>
            <w:hideMark/>
          </w:tcPr>
          <w:p w14:paraId="1A4E5381"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78</w:t>
            </w:r>
          </w:p>
        </w:tc>
        <w:tc>
          <w:tcPr>
            <w:tcW w:w="820" w:type="dxa"/>
            <w:tcBorders>
              <w:top w:val="nil"/>
              <w:left w:val="nil"/>
              <w:bottom w:val="single" w:sz="4" w:space="0" w:color="auto"/>
              <w:right w:val="single" w:sz="4" w:space="0" w:color="auto"/>
            </w:tcBorders>
            <w:shd w:val="clear" w:color="auto" w:fill="auto"/>
            <w:noWrap/>
            <w:vAlign w:val="bottom"/>
            <w:hideMark/>
          </w:tcPr>
          <w:p w14:paraId="49E6308A"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30</w:t>
            </w:r>
          </w:p>
        </w:tc>
        <w:tc>
          <w:tcPr>
            <w:tcW w:w="820" w:type="dxa"/>
            <w:tcBorders>
              <w:top w:val="nil"/>
              <w:left w:val="nil"/>
              <w:bottom w:val="single" w:sz="4" w:space="0" w:color="auto"/>
              <w:right w:val="single" w:sz="4" w:space="0" w:color="auto"/>
            </w:tcBorders>
            <w:shd w:val="clear" w:color="auto" w:fill="auto"/>
            <w:noWrap/>
            <w:vAlign w:val="bottom"/>
            <w:hideMark/>
          </w:tcPr>
          <w:p w14:paraId="1EE0EC36"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35D2916F"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14:paraId="6A22238B" w14:textId="77777777" w:rsidR="00937C11" w:rsidRPr="00937C11" w:rsidRDefault="00937C11" w:rsidP="00937C11">
            <w:pPr>
              <w:spacing w:line="240" w:lineRule="auto"/>
              <w:ind w:left="0"/>
              <w:jc w:val="center"/>
              <w:rPr>
                <w:rFonts w:ascii="Calibri" w:eastAsia="Times New Roman" w:hAnsi="Calibri" w:cs="Calibri"/>
                <w:color w:val="000000"/>
              </w:rPr>
            </w:pPr>
            <w:r w:rsidRPr="00937C11">
              <w:rPr>
                <w:rFonts w:ascii="Calibri" w:eastAsia="Times New Roman" w:hAnsi="Calibri" w:cs="Calibri"/>
                <w:color w:val="000000"/>
              </w:rPr>
              <w:t>342</w:t>
            </w:r>
          </w:p>
        </w:tc>
      </w:tr>
    </w:tbl>
    <w:p w14:paraId="66A54833" w14:textId="29896B19" w:rsidR="0061176B" w:rsidRDefault="0061176B" w:rsidP="00900C62">
      <w:pPr>
        <w:jc w:val="center"/>
      </w:pPr>
    </w:p>
    <w:p w14:paraId="2F0E171E" w14:textId="7BD93B11" w:rsidR="00A24296" w:rsidRDefault="00A24296" w:rsidP="00900C62">
      <w:pPr>
        <w:jc w:val="center"/>
      </w:pPr>
    </w:p>
    <w:tbl>
      <w:tblPr>
        <w:tblW w:w="4920" w:type="dxa"/>
        <w:jc w:val="center"/>
        <w:tblLook w:val="04A0" w:firstRow="1" w:lastRow="0" w:firstColumn="1" w:lastColumn="0" w:noHBand="0" w:noVBand="1"/>
      </w:tblPr>
      <w:tblGrid>
        <w:gridCol w:w="1126"/>
        <w:gridCol w:w="738"/>
        <w:gridCol w:w="1167"/>
        <w:gridCol w:w="1096"/>
        <w:gridCol w:w="804"/>
      </w:tblGrid>
      <w:tr w:rsidR="00315BE3" w:rsidRPr="00315BE3" w14:paraId="0ACD9A8C" w14:textId="77777777" w:rsidTr="00A261F7">
        <w:trPr>
          <w:trHeight w:val="300"/>
          <w:jc w:val="center"/>
        </w:trPr>
        <w:tc>
          <w:tcPr>
            <w:tcW w:w="4920" w:type="dxa"/>
            <w:gridSpan w:val="5"/>
            <w:tcBorders>
              <w:top w:val="single" w:sz="4" w:space="0" w:color="auto"/>
              <w:left w:val="single" w:sz="4" w:space="0" w:color="auto"/>
              <w:bottom w:val="single" w:sz="4" w:space="0" w:color="auto"/>
              <w:right w:val="nil"/>
            </w:tcBorders>
            <w:shd w:val="clear" w:color="000000" w:fill="0070C0"/>
            <w:noWrap/>
            <w:vAlign w:val="bottom"/>
            <w:hideMark/>
          </w:tcPr>
          <w:p w14:paraId="51F3A353" w14:textId="77777777" w:rsidR="00315BE3" w:rsidRPr="00315BE3" w:rsidRDefault="00315BE3" w:rsidP="00315BE3">
            <w:pPr>
              <w:spacing w:line="240" w:lineRule="auto"/>
              <w:ind w:left="0"/>
              <w:jc w:val="center"/>
              <w:rPr>
                <w:rFonts w:ascii="Calibri" w:eastAsia="Times New Roman" w:hAnsi="Calibri" w:cs="Calibri"/>
                <w:color w:val="FFFFFF"/>
              </w:rPr>
            </w:pPr>
            <w:r w:rsidRPr="00315BE3">
              <w:rPr>
                <w:rFonts w:ascii="Calibri" w:eastAsia="Times New Roman" w:hAnsi="Calibri" w:cs="Calibri"/>
                <w:color w:val="FFFFFF"/>
              </w:rPr>
              <w:t>EQUIPMENT - NON-REVENUE VEHICLES</w:t>
            </w:r>
          </w:p>
        </w:tc>
      </w:tr>
      <w:tr w:rsidR="00315BE3" w:rsidRPr="00315BE3" w14:paraId="114CF5B9" w14:textId="77777777" w:rsidTr="00A261F7">
        <w:trPr>
          <w:trHeight w:val="900"/>
          <w:jc w:val="center"/>
        </w:trPr>
        <w:tc>
          <w:tcPr>
            <w:tcW w:w="1126" w:type="dxa"/>
            <w:tcBorders>
              <w:top w:val="nil"/>
              <w:left w:val="single" w:sz="4" w:space="0" w:color="auto"/>
              <w:bottom w:val="single" w:sz="4" w:space="0" w:color="auto"/>
              <w:right w:val="single" w:sz="4" w:space="0" w:color="auto"/>
            </w:tcBorders>
            <w:shd w:val="clear" w:color="000000" w:fill="0070C0"/>
            <w:vAlign w:val="center"/>
            <w:hideMark/>
          </w:tcPr>
          <w:p w14:paraId="0CAE95D9" w14:textId="77777777" w:rsidR="00315BE3" w:rsidRPr="00315BE3" w:rsidRDefault="00315BE3" w:rsidP="00315BE3">
            <w:pPr>
              <w:spacing w:line="240" w:lineRule="auto"/>
              <w:ind w:left="0"/>
              <w:jc w:val="center"/>
              <w:rPr>
                <w:rFonts w:ascii="Calibri" w:eastAsia="Times New Roman" w:hAnsi="Calibri" w:cs="Calibri"/>
                <w:color w:val="FFFFFF"/>
              </w:rPr>
            </w:pPr>
            <w:r w:rsidRPr="00315BE3">
              <w:rPr>
                <w:rFonts w:ascii="Calibri" w:eastAsia="Times New Roman" w:hAnsi="Calibri" w:cs="Calibri"/>
                <w:color w:val="FFFFFF"/>
              </w:rPr>
              <w:t xml:space="preserve">Provider </w:t>
            </w:r>
            <w:r w:rsidRPr="00315BE3">
              <w:rPr>
                <w:rFonts w:ascii="Calibri" w:eastAsia="Times New Roman" w:hAnsi="Calibri" w:cs="Calibri"/>
                <w:color w:val="FFFFFF"/>
              </w:rPr>
              <w:br/>
              <w:t>/Vehicle Type</w:t>
            </w:r>
          </w:p>
        </w:tc>
        <w:tc>
          <w:tcPr>
            <w:tcW w:w="727" w:type="dxa"/>
            <w:tcBorders>
              <w:top w:val="single" w:sz="4" w:space="0" w:color="auto"/>
              <w:left w:val="nil"/>
              <w:bottom w:val="single" w:sz="4" w:space="0" w:color="auto"/>
              <w:right w:val="single" w:sz="4" w:space="0" w:color="000000"/>
            </w:tcBorders>
            <w:shd w:val="clear" w:color="000000" w:fill="0070C0"/>
            <w:noWrap/>
            <w:vAlign w:val="bottom"/>
            <w:hideMark/>
          </w:tcPr>
          <w:p w14:paraId="20B76706" w14:textId="77777777" w:rsidR="00315BE3" w:rsidRPr="00315BE3" w:rsidRDefault="00315BE3" w:rsidP="00315BE3">
            <w:pPr>
              <w:spacing w:line="240" w:lineRule="auto"/>
              <w:ind w:left="0"/>
              <w:jc w:val="center"/>
              <w:rPr>
                <w:rFonts w:ascii="Calibri" w:eastAsia="Times New Roman" w:hAnsi="Calibri" w:cs="Calibri"/>
                <w:color w:val="FFFFFF"/>
              </w:rPr>
            </w:pPr>
            <w:r w:rsidRPr="00315BE3">
              <w:rPr>
                <w:rFonts w:ascii="Calibri" w:eastAsia="Times New Roman" w:hAnsi="Calibri" w:cs="Calibri"/>
                <w:color w:val="FFFFFF"/>
              </w:rPr>
              <w:t>AUTO</w:t>
            </w:r>
          </w:p>
        </w:tc>
        <w:tc>
          <w:tcPr>
            <w:tcW w:w="1167" w:type="dxa"/>
            <w:tcBorders>
              <w:top w:val="single" w:sz="4" w:space="0" w:color="auto"/>
              <w:left w:val="nil"/>
              <w:bottom w:val="single" w:sz="4" w:space="0" w:color="auto"/>
              <w:right w:val="single" w:sz="4" w:space="0" w:color="000000"/>
            </w:tcBorders>
            <w:shd w:val="clear" w:color="000000" w:fill="0070C0"/>
            <w:vAlign w:val="bottom"/>
            <w:hideMark/>
          </w:tcPr>
          <w:p w14:paraId="36F805B5" w14:textId="77777777" w:rsidR="00315BE3" w:rsidRPr="00315BE3" w:rsidRDefault="00315BE3" w:rsidP="00315BE3">
            <w:pPr>
              <w:spacing w:line="240" w:lineRule="auto"/>
              <w:ind w:left="0"/>
              <w:jc w:val="center"/>
              <w:rPr>
                <w:rFonts w:ascii="Calibri" w:eastAsia="Times New Roman" w:hAnsi="Calibri" w:cs="Calibri"/>
                <w:color w:val="FFFFFF"/>
              </w:rPr>
            </w:pPr>
            <w:r w:rsidRPr="00315BE3">
              <w:rPr>
                <w:rFonts w:ascii="Calibri" w:eastAsia="Times New Roman" w:hAnsi="Calibri" w:cs="Calibri"/>
                <w:color w:val="FFFFFF"/>
              </w:rPr>
              <w:t xml:space="preserve">SERVICE </w:t>
            </w:r>
            <w:r w:rsidRPr="00315BE3">
              <w:rPr>
                <w:rFonts w:ascii="Calibri" w:eastAsia="Times New Roman" w:hAnsi="Calibri" w:cs="Calibri"/>
                <w:color w:val="FFFFFF"/>
              </w:rPr>
              <w:br/>
              <w:t>VEHICLE</w:t>
            </w:r>
          </w:p>
        </w:tc>
        <w:tc>
          <w:tcPr>
            <w:tcW w:w="1096" w:type="dxa"/>
            <w:tcBorders>
              <w:top w:val="single" w:sz="4" w:space="0" w:color="auto"/>
              <w:left w:val="nil"/>
              <w:bottom w:val="single" w:sz="4" w:space="0" w:color="auto"/>
              <w:right w:val="single" w:sz="4" w:space="0" w:color="000000"/>
            </w:tcBorders>
            <w:shd w:val="clear" w:color="000000" w:fill="0070C0"/>
            <w:vAlign w:val="bottom"/>
            <w:hideMark/>
          </w:tcPr>
          <w:p w14:paraId="63FFB0E4" w14:textId="77777777" w:rsidR="00315BE3" w:rsidRPr="00315BE3" w:rsidRDefault="00315BE3" w:rsidP="00315BE3">
            <w:pPr>
              <w:spacing w:line="240" w:lineRule="auto"/>
              <w:ind w:left="0"/>
              <w:jc w:val="center"/>
              <w:rPr>
                <w:rFonts w:ascii="Calibri" w:eastAsia="Times New Roman" w:hAnsi="Calibri" w:cs="Calibri"/>
                <w:color w:val="FFFFFF"/>
              </w:rPr>
            </w:pPr>
            <w:r w:rsidRPr="00315BE3">
              <w:rPr>
                <w:rFonts w:ascii="Calibri" w:eastAsia="Times New Roman" w:hAnsi="Calibri" w:cs="Calibri"/>
                <w:color w:val="FFFFFF"/>
              </w:rPr>
              <w:t>Rescue Boats</w:t>
            </w:r>
          </w:p>
        </w:tc>
        <w:tc>
          <w:tcPr>
            <w:tcW w:w="804" w:type="dxa"/>
            <w:tcBorders>
              <w:top w:val="single" w:sz="4" w:space="0" w:color="auto"/>
              <w:left w:val="nil"/>
              <w:bottom w:val="single" w:sz="4" w:space="0" w:color="auto"/>
              <w:right w:val="single" w:sz="4" w:space="0" w:color="000000"/>
            </w:tcBorders>
            <w:shd w:val="clear" w:color="000000" w:fill="0070C0"/>
            <w:noWrap/>
            <w:vAlign w:val="bottom"/>
            <w:hideMark/>
          </w:tcPr>
          <w:p w14:paraId="6332073F" w14:textId="77777777" w:rsidR="00315BE3" w:rsidRPr="00315BE3" w:rsidRDefault="00315BE3" w:rsidP="00315BE3">
            <w:pPr>
              <w:spacing w:line="240" w:lineRule="auto"/>
              <w:ind w:left="0"/>
              <w:jc w:val="center"/>
              <w:rPr>
                <w:rFonts w:ascii="Calibri" w:eastAsia="Times New Roman" w:hAnsi="Calibri" w:cs="Calibri"/>
                <w:color w:val="FFFFFF"/>
              </w:rPr>
            </w:pPr>
            <w:r w:rsidRPr="00315BE3">
              <w:rPr>
                <w:rFonts w:ascii="Calibri" w:eastAsia="Times New Roman" w:hAnsi="Calibri" w:cs="Calibri"/>
                <w:color w:val="FFFFFF"/>
              </w:rPr>
              <w:t>TOTAL</w:t>
            </w:r>
          </w:p>
        </w:tc>
      </w:tr>
      <w:tr w:rsidR="00315BE3" w:rsidRPr="00315BE3" w14:paraId="5739895D" w14:textId="77777777" w:rsidTr="00A261F7">
        <w:trPr>
          <w:trHeight w:val="300"/>
          <w:jc w:val="center"/>
        </w:trPr>
        <w:tc>
          <w:tcPr>
            <w:tcW w:w="1126" w:type="dxa"/>
            <w:tcBorders>
              <w:top w:val="nil"/>
              <w:left w:val="single" w:sz="4" w:space="0" w:color="auto"/>
              <w:bottom w:val="single" w:sz="4" w:space="0" w:color="auto"/>
              <w:right w:val="single" w:sz="4" w:space="0" w:color="auto"/>
            </w:tcBorders>
            <w:shd w:val="clear" w:color="auto" w:fill="auto"/>
            <w:noWrap/>
            <w:vAlign w:val="bottom"/>
            <w:hideMark/>
          </w:tcPr>
          <w:p w14:paraId="507B7B05" w14:textId="77777777" w:rsidR="00315BE3" w:rsidRPr="00315BE3" w:rsidRDefault="00315BE3" w:rsidP="00315BE3">
            <w:pPr>
              <w:spacing w:line="240" w:lineRule="auto"/>
              <w:ind w:left="0"/>
              <w:rPr>
                <w:rFonts w:ascii="Calibri" w:eastAsia="Times New Roman" w:hAnsi="Calibri" w:cs="Calibri"/>
                <w:color w:val="000000"/>
              </w:rPr>
            </w:pPr>
            <w:r w:rsidRPr="00315BE3">
              <w:rPr>
                <w:rFonts w:ascii="Calibri" w:eastAsia="Times New Roman" w:hAnsi="Calibri" w:cs="Calibri"/>
                <w:color w:val="000000"/>
              </w:rPr>
              <w:t>ARTS</w:t>
            </w:r>
          </w:p>
        </w:tc>
        <w:tc>
          <w:tcPr>
            <w:tcW w:w="727" w:type="dxa"/>
            <w:tcBorders>
              <w:top w:val="single" w:sz="4" w:space="0" w:color="auto"/>
              <w:left w:val="nil"/>
              <w:bottom w:val="single" w:sz="4" w:space="0" w:color="auto"/>
              <w:right w:val="single" w:sz="4" w:space="0" w:color="000000"/>
            </w:tcBorders>
            <w:shd w:val="clear" w:color="auto" w:fill="auto"/>
            <w:noWrap/>
            <w:vAlign w:val="bottom"/>
            <w:hideMark/>
          </w:tcPr>
          <w:p w14:paraId="2C2B4D3A"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1167" w:type="dxa"/>
            <w:tcBorders>
              <w:top w:val="single" w:sz="4" w:space="0" w:color="auto"/>
              <w:left w:val="nil"/>
              <w:bottom w:val="single" w:sz="4" w:space="0" w:color="auto"/>
              <w:right w:val="single" w:sz="4" w:space="0" w:color="000000"/>
            </w:tcBorders>
            <w:shd w:val="clear" w:color="auto" w:fill="auto"/>
            <w:noWrap/>
            <w:vAlign w:val="bottom"/>
            <w:hideMark/>
          </w:tcPr>
          <w:p w14:paraId="143E7ED1"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1</w:t>
            </w:r>
          </w:p>
        </w:tc>
        <w:tc>
          <w:tcPr>
            <w:tcW w:w="1096" w:type="dxa"/>
            <w:tcBorders>
              <w:top w:val="single" w:sz="4" w:space="0" w:color="auto"/>
              <w:left w:val="nil"/>
              <w:bottom w:val="single" w:sz="4" w:space="0" w:color="auto"/>
              <w:right w:val="single" w:sz="4" w:space="0" w:color="000000"/>
            </w:tcBorders>
            <w:shd w:val="clear" w:color="auto" w:fill="auto"/>
            <w:noWrap/>
            <w:vAlign w:val="bottom"/>
            <w:hideMark/>
          </w:tcPr>
          <w:p w14:paraId="3C93DC1C"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804" w:type="dxa"/>
            <w:tcBorders>
              <w:top w:val="single" w:sz="4" w:space="0" w:color="auto"/>
              <w:left w:val="nil"/>
              <w:bottom w:val="single" w:sz="4" w:space="0" w:color="auto"/>
              <w:right w:val="single" w:sz="4" w:space="0" w:color="000000"/>
            </w:tcBorders>
            <w:shd w:val="clear" w:color="auto" w:fill="auto"/>
            <w:noWrap/>
            <w:vAlign w:val="bottom"/>
            <w:hideMark/>
          </w:tcPr>
          <w:p w14:paraId="0F700341"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1</w:t>
            </w:r>
          </w:p>
        </w:tc>
      </w:tr>
      <w:tr w:rsidR="00315BE3" w:rsidRPr="00315BE3" w14:paraId="2357C51F" w14:textId="77777777" w:rsidTr="00A261F7">
        <w:trPr>
          <w:trHeight w:val="300"/>
          <w:jc w:val="center"/>
        </w:trPr>
        <w:tc>
          <w:tcPr>
            <w:tcW w:w="1126" w:type="dxa"/>
            <w:tcBorders>
              <w:top w:val="nil"/>
              <w:left w:val="single" w:sz="4" w:space="0" w:color="auto"/>
              <w:bottom w:val="single" w:sz="4" w:space="0" w:color="auto"/>
              <w:right w:val="single" w:sz="4" w:space="0" w:color="auto"/>
            </w:tcBorders>
            <w:shd w:val="clear" w:color="auto" w:fill="auto"/>
            <w:noWrap/>
            <w:vAlign w:val="bottom"/>
            <w:hideMark/>
          </w:tcPr>
          <w:p w14:paraId="555789D4" w14:textId="77777777" w:rsidR="00315BE3" w:rsidRPr="00315BE3" w:rsidRDefault="00315BE3" w:rsidP="00315BE3">
            <w:pPr>
              <w:spacing w:line="240" w:lineRule="auto"/>
              <w:ind w:left="0"/>
              <w:rPr>
                <w:rFonts w:ascii="Calibri" w:eastAsia="Times New Roman" w:hAnsi="Calibri" w:cs="Calibri"/>
                <w:color w:val="000000"/>
              </w:rPr>
            </w:pPr>
            <w:r w:rsidRPr="00315BE3">
              <w:rPr>
                <w:rFonts w:ascii="Calibri" w:eastAsia="Times New Roman" w:hAnsi="Calibri" w:cs="Calibri"/>
                <w:color w:val="000000"/>
              </w:rPr>
              <w:t>DTI</w:t>
            </w:r>
          </w:p>
        </w:tc>
        <w:tc>
          <w:tcPr>
            <w:tcW w:w="727" w:type="dxa"/>
            <w:tcBorders>
              <w:top w:val="single" w:sz="4" w:space="0" w:color="auto"/>
              <w:left w:val="nil"/>
              <w:bottom w:val="single" w:sz="4" w:space="0" w:color="auto"/>
              <w:right w:val="single" w:sz="4" w:space="0" w:color="000000"/>
            </w:tcBorders>
            <w:shd w:val="clear" w:color="auto" w:fill="auto"/>
            <w:noWrap/>
            <w:vAlign w:val="bottom"/>
            <w:hideMark/>
          </w:tcPr>
          <w:p w14:paraId="1A4F6A14"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2</w:t>
            </w:r>
          </w:p>
        </w:tc>
        <w:tc>
          <w:tcPr>
            <w:tcW w:w="1167" w:type="dxa"/>
            <w:tcBorders>
              <w:top w:val="single" w:sz="4" w:space="0" w:color="auto"/>
              <w:left w:val="nil"/>
              <w:bottom w:val="single" w:sz="4" w:space="0" w:color="auto"/>
              <w:right w:val="single" w:sz="4" w:space="0" w:color="000000"/>
            </w:tcBorders>
            <w:shd w:val="clear" w:color="auto" w:fill="auto"/>
            <w:noWrap/>
            <w:vAlign w:val="bottom"/>
            <w:hideMark/>
          </w:tcPr>
          <w:p w14:paraId="73A52F7E"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1096" w:type="dxa"/>
            <w:tcBorders>
              <w:top w:val="single" w:sz="4" w:space="0" w:color="auto"/>
              <w:left w:val="nil"/>
              <w:bottom w:val="single" w:sz="4" w:space="0" w:color="auto"/>
              <w:right w:val="single" w:sz="4" w:space="0" w:color="000000"/>
            </w:tcBorders>
            <w:shd w:val="clear" w:color="auto" w:fill="auto"/>
            <w:noWrap/>
            <w:vAlign w:val="bottom"/>
            <w:hideMark/>
          </w:tcPr>
          <w:p w14:paraId="231BF7C0"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804" w:type="dxa"/>
            <w:tcBorders>
              <w:top w:val="single" w:sz="4" w:space="0" w:color="auto"/>
              <w:left w:val="nil"/>
              <w:bottom w:val="single" w:sz="4" w:space="0" w:color="auto"/>
              <w:right w:val="single" w:sz="4" w:space="0" w:color="000000"/>
            </w:tcBorders>
            <w:shd w:val="clear" w:color="auto" w:fill="auto"/>
            <w:noWrap/>
            <w:vAlign w:val="bottom"/>
            <w:hideMark/>
          </w:tcPr>
          <w:p w14:paraId="02FC47B6"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2</w:t>
            </w:r>
          </w:p>
        </w:tc>
      </w:tr>
      <w:tr w:rsidR="00315BE3" w:rsidRPr="00315BE3" w14:paraId="05D892A9" w14:textId="77777777" w:rsidTr="00A261F7">
        <w:trPr>
          <w:trHeight w:val="300"/>
          <w:jc w:val="center"/>
        </w:trPr>
        <w:tc>
          <w:tcPr>
            <w:tcW w:w="1126" w:type="dxa"/>
            <w:tcBorders>
              <w:top w:val="nil"/>
              <w:left w:val="single" w:sz="4" w:space="0" w:color="auto"/>
              <w:bottom w:val="single" w:sz="4" w:space="0" w:color="auto"/>
              <w:right w:val="single" w:sz="4" w:space="0" w:color="auto"/>
            </w:tcBorders>
            <w:shd w:val="clear" w:color="auto" w:fill="auto"/>
            <w:noWrap/>
            <w:vAlign w:val="bottom"/>
            <w:hideMark/>
          </w:tcPr>
          <w:p w14:paraId="7931EBFC" w14:textId="77777777" w:rsidR="00315BE3" w:rsidRPr="00315BE3" w:rsidRDefault="00315BE3" w:rsidP="00315BE3">
            <w:pPr>
              <w:spacing w:line="240" w:lineRule="auto"/>
              <w:ind w:left="0"/>
              <w:rPr>
                <w:rFonts w:ascii="Calibri" w:eastAsia="Times New Roman" w:hAnsi="Calibri" w:cs="Calibri"/>
                <w:color w:val="000000"/>
              </w:rPr>
            </w:pPr>
            <w:r w:rsidRPr="00315BE3">
              <w:rPr>
                <w:rFonts w:ascii="Calibri" w:eastAsia="Times New Roman" w:hAnsi="Calibri" w:cs="Calibri"/>
                <w:color w:val="000000"/>
              </w:rPr>
              <w:t>WMTS</w:t>
            </w:r>
          </w:p>
        </w:tc>
        <w:tc>
          <w:tcPr>
            <w:tcW w:w="727" w:type="dxa"/>
            <w:tcBorders>
              <w:top w:val="single" w:sz="4" w:space="0" w:color="auto"/>
              <w:left w:val="nil"/>
              <w:bottom w:val="single" w:sz="4" w:space="0" w:color="auto"/>
              <w:right w:val="single" w:sz="4" w:space="0" w:color="000000"/>
            </w:tcBorders>
            <w:shd w:val="clear" w:color="auto" w:fill="auto"/>
            <w:noWrap/>
            <w:vAlign w:val="bottom"/>
            <w:hideMark/>
          </w:tcPr>
          <w:p w14:paraId="0B371C75"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1167" w:type="dxa"/>
            <w:tcBorders>
              <w:top w:val="single" w:sz="4" w:space="0" w:color="auto"/>
              <w:left w:val="nil"/>
              <w:bottom w:val="single" w:sz="4" w:space="0" w:color="auto"/>
              <w:right w:val="single" w:sz="4" w:space="0" w:color="000000"/>
            </w:tcBorders>
            <w:shd w:val="clear" w:color="auto" w:fill="auto"/>
            <w:noWrap/>
            <w:vAlign w:val="bottom"/>
            <w:hideMark/>
          </w:tcPr>
          <w:p w14:paraId="5C4B7C5C"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2</w:t>
            </w:r>
          </w:p>
        </w:tc>
        <w:tc>
          <w:tcPr>
            <w:tcW w:w="1096" w:type="dxa"/>
            <w:tcBorders>
              <w:top w:val="single" w:sz="4" w:space="0" w:color="auto"/>
              <w:left w:val="nil"/>
              <w:bottom w:val="single" w:sz="4" w:space="0" w:color="auto"/>
              <w:right w:val="single" w:sz="4" w:space="0" w:color="000000"/>
            </w:tcBorders>
            <w:shd w:val="clear" w:color="auto" w:fill="auto"/>
            <w:noWrap/>
            <w:vAlign w:val="bottom"/>
            <w:hideMark/>
          </w:tcPr>
          <w:p w14:paraId="56EEB6AD"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804" w:type="dxa"/>
            <w:tcBorders>
              <w:top w:val="single" w:sz="4" w:space="0" w:color="auto"/>
              <w:left w:val="nil"/>
              <w:bottom w:val="single" w:sz="4" w:space="0" w:color="auto"/>
              <w:right w:val="single" w:sz="4" w:space="0" w:color="000000"/>
            </w:tcBorders>
            <w:shd w:val="clear" w:color="auto" w:fill="auto"/>
            <w:noWrap/>
            <w:vAlign w:val="bottom"/>
            <w:hideMark/>
          </w:tcPr>
          <w:p w14:paraId="1EE30236"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2</w:t>
            </w:r>
          </w:p>
        </w:tc>
      </w:tr>
      <w:tr w:rsidR="00315BE3" w:rsidRPr="00315BE3" w14:paraId="753F638B" w14:textId="77777777" w:rsidTr="00A261F7">
        <w:trPr>
          <w:trHeight w:val="300"/>
          <w:jc w:val="center"/>
        </w:trPr>
        <w:tc>
          <w:tcPr>
            <w:tcW w:w="1126" w:type="dxa"/>
            <w:tcBorders>
              <w:top w:val="nil"/>
              <w:left w:val="single" w:sz="4" w:space="0" w:color="auto"/>
              <w:bottom w:val="single" w:sz="4" w:space="0" w:color="auto"/>
              <w:right w:val="nil"/>
            </w:tcBorders>
            <w:shd w:val="clear" w:color="auto" w:fill="auto"/>
            <w:noWrap/>
            <w:vAlign w:val="bottom"/>
            <w:hideMark/>
          </w:tcPr>
          <w:p w14:paraId="607F03FB" w14:textId="77777777" w:rsidR="00315BE3" w:rsidRPr="00315BE3" w:rsidRDefault="00315BE3" w:rsidP="00315BE3">
            <w:pPr>
              <w:spacing w:line="240" w:lineRule="auto"/>
              <w:ind w:left="0"/>
              <w:rPr>
                <w:rFonts w:ascii="Calibri" w:eastAsia="Times New Roman" w:hAnsi="Calibri" w:cs="Calibri"/>
                <w:color w:val="000000"/>
              </w:rPr>
            </w:pPr>
            <w:r w:rsidRPr="00315BE3">
              <w:rPr>
                <w:rFonts w:ascii="Calibri" w:eastAsia="Times New Roman" w:hAnsi="Calibri" w:cs="Calibri"/>
                <w:color w:val="000000"/>
              </w:rPr>
              <w:t>MSFS</w:t>
            </w:r>
          </w:p>
        </w:tc>
        <w:tc>
          <w:tcPr>
            <w:tcW w:w="7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C8A2EE"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1167" w:type="dxa"/>
            <w:tcBorders>
              <w:top w:val="single" w:sz="4" w:space="0" w:color="auto"/>
              <w:left w:val="nil"/>
              <w:bottom w:val="single" w:sz="4" w:space="0" w:color="auto"/>
              <w:right w:val="single" w:sz="4" w:space="0" w:color="000000"/>
            </w:tcBorders>
            <w:shd w:val="clear" w:color="auto" w:fill="auto"/>
            <w:noWrap/>
            <w:vAlign w:val="bottom"/>
            <w:hideMark/>
          </w:tcPr>
          <w:p w14:paraId="431F49C5"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0</w:t>
            </w:r>
          </w:p>
        </w:tc>
        <w:tc>
          <w:tcPr>
            <w:tcW w:w="1096" w:type="dxa"/>
            <w:tcBorders>
              <w:top w:val="single" w:sz="4" w:space="0" w:color="auto"/>
              <w:left w:val="nil"/>
              <w:bottom w:val="single" w:sz="4" w:space="0" w:color="auto"/>
              <w:right w:val="single" w:sz="4" w:space="0" w:color="000000"/>
            </w:tcBorders>
            <w:shd w:val="clear" w:color="auto" w:fill="auto"/>
            <w:noWrap/>
            <w:vAlign w:val="bottom"/>
            <w:hideMark/>
          </w:tcPr>
          <w:p w14:paraId="225DE515"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6</w:t>
            </w:r>
          </w:p>
        </w:tc>
        <w:tc>
          <w:tcPr>
            <w:tcW w:w="804" w:type="dxa"/>
            <w:tcBorders>
              <w:top w:val="single" w:sz="4" w:space="0" w:color="auto"/>
              <w:left w:val="nil"/>
              <w:bottom w:val="single" w:sz="4" w:space="0" w:color="auto"/>
              <w:right w:val="single" w:sz="4" w:space="0" w:color="000000"/>
            </w:tcBorders>
            <w:shd w:val="clear" w:color="auto" w:fill="auto"/>
            <w:noWrap/>
            <w:vAlign w:val="bottom"/>
            <w:hideMark/>
          </w:tcPr>
          <w:p w14:paraId="072A1A4B"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6</w:t>
            </w:r>
          </w:p>
        </w:tc>
      </w:tr>
      <w:tr w:rsidR="00315BE3" w:rsidRPr="00315BE3" w14:paraId="25DC1562" w14:textId="77777777" w:rsidTr="00A261F7">
        <w:trPr>
          <w:trHeight w:val="300"/>
          <w:jc w:val="center"/>
        </w:trPr>
        <w:tc>
          <w:tcPr>
            <w:tcW w:w="1126" w:type="dxa"/>
            <w:tcBorders>
              <w:top w:val="nil"/>
              <w:left w:val="single" w:sz="4" w:space="0" w:color="auto"/>
              <w:bottom w:val="single" w:sz="4" w:space="0" w:color="auto"/>
              <w:right w:val="nil"/>
            </w:tcBorders>
            <w:shd w:val="clear" w:color="auto" w:fill="auto"/>
            <w:noWrap/>
            <w:vAlign w:val="bottom"/>
            <w:hideMark/>
          </w:tcPr>
          <w:p w14:paraId="1BDAC375" w14:textId="77777777" w:rsidR="00315BE3" w:rsidRPr="00315BE3" w:rsidRDefault="00315BE3" w:rsidP="00315BE3">
            <w:pPr>
              <w:spacing w:line="240" w:lineRule="auto"/>
              <w:ind w:left="0"/>
              <w:rPr>
                <w:rFonts w:ascii="Calibri" w:eastAsia="Times New Roman" w:hAnsi="Calibri" w:cs="Calibri"/>
                <w:color w:val="000000"/>
              </w:rPr>
            </w:pPr>
            <w:r w:rsidRPr="00315BE3">
              <w:rPr>
                <w:rFonts w:ascii="Calibri" w:eastAsia="Times New Roman" w:hAnsi="Calibri" w:cs="Calibri"/>
                <w:color w:val="000000"/>
              </w:rPr>
              <w:t>TOTAL</w:t>
            </w:r>
          </w:p>
        </w:tc>
        <w:tc>
          <w:tcPr>
            <w:tcW w:w="7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893200"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2</w:t>
            </w:r>
          </w:p>
        </w:tc>
        <w:tc>
          <w:tcPr>
            <w:tcW w:w="1167" w:type="dxa"/>
            <w:tcBorders>
              <w:top w:val="single" w:sz="4" w:space="0" w:color="auto"/>
              <w:left w:val="nil"/>
              <w:bottom w:val="single" w:sz="4" w:space="0" w:color="auto"/>
              <w:right w:val="single" w:sz="4" w:space="0" w:color="000000"/>
            </w:tcBorders>
            <w:shd w:val="clear" w:color="auto" w:fill="auto"/>
            <w:noWrap/>
            <w:vAlign w:val="bottom"/>
            <w:hideMark/>
          </w:tcPr>
          <w:p w14:paraId="54500350"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3</w:t>
            </w:r>
          </w:p>
        </w:tc>
        <w:tc>
          <w:tcPr>
            <w:tcW w:w="1096" w:type="dxa"/>
            <w:tcBorders>
              <w:top w:val="single" w:sz="4" w:space="0" w:color="auto"/>
              <w:left w:val="nil"/>
              <w:bottom w:val="single" w:sz="4" w:space="0" w:color="auto"/>
              <w:right w:val="single" w:sz="4" w:space="0" w:color="000000"/>
            </w:tcBorders>
            <w:shd w:val="clear" w:color="auto" w:fill="auto"/>
            <w:noWrap/>
            <w:vAlign w:val="bottom"/>
            <w:hideMark/>
          </w:tcPr>
          <w:p w14:paraId="1C9C01AF"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6</w:t>
            </w:r>
          </w:p>
        </w:tc>
        <w:tc>
          <w:tcPr>
            <w:tcW w:w="804" w:type="dxa"/>
            <w:tcBorders>
              <w:top w:val="single" w:sz="4" w:space="0" w:color="auto"/>
              <w:left w:val="nil"/>
              <w:bottom w:val="single" w:sz="4" w:space="0" w:color="auto"/>
              <w:right w:val="single" w:sz="4" w:space="0" w:color="000000"/>
            </w:tcBorders>
            <w:shd w:val="clear" w:color="auto" w:fill="auto"/>
            <w:noWrap/>
            <w:vAlign w:val="bottom"/>
            <w:hideMark/>
          </w:tcPr>
          <w:p w14:paraId="27F96673" w14:textId="77777777" w:rsidR="00315BE3" w:rsidRPr="00315BE3" w:rsidRDefault="00315BE3" w:rsidP="00315BE3">
            <w:pPr>
              <w:spacing w:line="240" w:lineRule="auto"/>
              <w:ind w:left="0"/>
              <w:jc w:val="center"/>
              <w:rPr>
                <w:rFonts w:ascii="Calibri" w:eastAsia="Times New Roman" w:hAnsi="Calibri" w:cs="Calibri"/>
                <w:color w:val="000000"/>
              </w:rPr>
            </w:pPr>
            <w:r w:rsidRPr="00315BE3">
              <w:rPr>
                <w:rFonts w:ascii="Calibri" w:eastAsia="Times New Roman" w:hAnsi="Calibri" w:cs="Calibri"/>
                <w:color w:val="000000"/>
              </w:rPr>
              <w:t>11</w:t>
            </w:r>
          </w:p>
        </w:tc>
      </w:tr>
    </w:tbl>
    <w:p w14:paraId="57BBE57F" w14:textId="70DCA759" w:rsidR="00A24296" w:rsidRDefault="00A24296" w:rsidP="00900C62">
      <w:pPr>
        <w:jc w:val="center"/>
      </w:pPr>
    </w:p>
    <w:p w14:paraId="4944991A" w14:textId="793F950E" w:rsidR="00310323" w:rsidRDefault="00310323" w:rsidP="00900C62">
      <w:pPr>
        <w:jc w:val="center"/>
      </w:pPr>
    </w:p>
    <w:p w14:paraId="15325124" w14:textId="1232A368" w:rsidR="00740353" w:rsidRPr="007E6F80" w:rsidRDefault="00871D6F" w:rsidP="00740353">
      <w:pPr>
        <w:rPr>
          <w:b/>
        </w:rPr>
      </w:pPr>
      <w:r w:rsidRPr="007E6F80">
        <w:rPr>
          <w:b/>
        </w:rPr>
        <w:t xml:space="preserve">Facility </w:t>
      </w:r>
      <w:r w:rsidR="00D36F33" w:rsidRPr="007E6F80">
        <w:rPr>
          <w:b/>
        </w:rPr>
        <w:t xml:space="preserve">Classifications </w:t>
      </w:r>
    </w:p>
    <w:p w14:paraId="465F966A" w14:textId="6A63BEBA" w:rsidR="00740353" w:rsidRPr="00740353" w:rsidRDefault="00740353" w:rsidP="00740353">
      <w:r w:rsidRPr="00740353">
        <w:t xml:space="preserve">MaineDOT owns a number of buildings, parking lots, piers, docks, transfer bridges, hoists and associated equipment </w:t>
      </w:r>
      <w:r w:rsidR="007124BA">
        <w:t>used</w:t>
      </w:r>
      <w:r w:rsidR="007124BA" w:rsidRPr="00740353">
        <w:t xml:space="preserve"> </w:t>
      </w:r>
      <w:r w:rsidRPr="00740353">
        <w:t>to support public transportation services. Other than the Maine State Ferry Service</w:t>
      </w:r>
      <w:r w:rsidR="007124BA">
        <w:t>,</w:t>
      </w:r>
      <w:r w:rsidRPr="00740353">
        <w:t xml:space="preserve"> which is owned and operated by MaineDOT, all other transit services are provided by FTA Section 5311 subrecipients, direct recipients</w:t>
      </w:r>
      <w:r w:rsidR="007124BA">
        <w:t>,</w:t>
      </w:r>
      <w:r w:rsidRPr="00740353">
        <w:t xml:space="preserve"> or private sector providers. In </w:t>
      </w:r>
      <w:r w:rsidR="007124BA">
        <w:t>several</w:t>
      </w:r>
      <w:r w:rsidRPr="00740353">
        <w:t xml:space="preserve"> cases, facilities are leased to transit providers. In addition, facilities are varied and require oversight by people with specialized expertise. Thus, the responsibility for asset management, particularly maintenance, is distributed in many cases among multiple parties. Facilities owned </w:t>
      </w:r>
      <w:r w:rsidRPr="00740353">
        <w:lastRenderedPageBreak/>
        <w:t>by MaineDOT are managed by the MaineDOT Bureau of Maintenance and Operations. Transit facilities owned by FTA Section 5311 subrecipients are managed entirely by the subrecipients who</w:t>
      </w:r>
      <w:r w:rsidR="00692AEC">
        <w:t>, as participants in this Plan,</w:t>
      </w:r>
      <w:r w:rsidRPr="00740353">
        <w:t xml:space="preserve"> transmit their condition assessments to MaineDOT’s Transit Asset Manager in the Bureau of Planning</w:t>
      </w:r>
      <w:r w:rsidR="00692AEC">
        <w:t>.</w:t>
      </w:r>
    </w:p>
    <w:p w14:paraId="5C1A2D28" w14:textId="77777777" w:rsidR="00740353" w:rsidRPr="00740353" w:rsidRDefault="00740353" w:rsidP="00740353">
      <w:r w:rsidRPr="00740353">
        <w:t xml:space="preserve"> </w:t>
      </w:r>
    </w:p>
    <w:p w14:paraId="734350C3" w14:textId="2B250C27" w:rsidR="00740353" w:rsidRPr="00740353" w:rsidRDefault="00740353" w:rsidP="00740353">
      <w:r w:rsidRPr="00B76D13">
        <w:rPr>
          <w:b/>
          <w:bCs/>
        </w:rPr>
        <w:t xml:space="preserve">Table </w:t>
      </w:r>
      <w:r w:rsidR="00A20AB5" w:rsidRPr="00B76D13">
        <w:rPr>
          <w:b/>
          <w:bCs/>
        </w:rPr>
        <w:t>3</w:t>
      </w:r>
      <w:r w:rsidR="00A20AB5" w:rsidRPr="00740353">
        <w:t xml:space="preserve"> </w:t>
      </w:r>
      <w:r w:rsidRPr="00740353">
        <w:t xml:space="preserve">outlines maintenance procedures and assigned responsibility for assets by type, ownership and operator.  A brief description of the facilities managed by subrecipients follows. </w:t>
      </w:r>
    </w:p>
    <w:p w14:paraId="787E44FE" w14:textId="77777777" w:rsidR="00740353" w:rsidRPr="00740353" w:rsidRDefault="00740353" w:rsidP="00740353"/>
    <w:p w14:paraId="0956A9DA" w14:textId="263F0A25" w:rsidR="00740353" w:rsidRDefault="00740353" w:rsidP="00740353">
      <w:pPr>
        <w:rPr>
          <w:rFonts w:cs="Arial"/>
          <w:b/>
        </w:rPr>
      </w:pPr>
      <w:bookmarkStart w:id="10" w:name="_Hlk525934561"/>
      <w:r w:rsidRPr="00880998">
        <w:rPr>
          <w:rFonts w:cs="Arial"/>
          <w:b/>
        </w:rPr>
        <w:t xml:space="preserve">Table </w:t>
      </w:r>
      <w:r w:rsidR="00A20AB5" w:rsidRPr="00880998">
        <w:rPr>
          <w:rFonts w:cs="Arial"/>
          <w:b/>
        </w:rPr>
        <w:t xml:space="preserve">3 </w:t>
      </w:r>
      <w:r w:rsidRPr="00880998">
        <w:rPr>
          <w:rFonts w:cs="Arial"/>
          <w:b/>
        </w:rPr>
        <w:t>Facility Maintenance Procedures by Asset Type</w:t>
      </w:r>
      <w:bookmarkEnd w:id="10"/>
      <w:r w:rsidR="002A0667" w:rsidRPr="00880998">
        <w:rPr>
          <w:rFonts w:cs="Arial"/>
          <w:b/>
        </w:rPr>
        <w:t xml:space="preserve"> and Responsible Party</w:t>
      </w:r>
    </w:p>
    <w:p w14:paraId="5B74F5D2" w14:textId="310764F6" w:rsidR="00B32A95" w:rsidRDefault="00B32A95" w:rsidP="00740353">
      <w:pPr>
        <w:rPr>
          <w:rFonts w:cs="Arial"/>
          <w:b/>
        </w:rPr>
      </w:pPr>
    </w:p>
    <w:tbl>
      <w:tblPr>
        <w:tblW w:w="9460" w:type="dxa"/>
        <w:tblLook w:val="04A0" w:firstRow="1" w:lastRow="0" w:firstColumn="1" w:lastColumn="0" w:noHBand="0" w:noVBand="1"/>
      </w:tblPr>
      <w:tblGrid>
        <w:gridCol w:w="1720"/>
        <w:gridCol w:w="1240"/>
        <w:gridCol w:w="1340"/>
        <w:gridCol w:w="1440"/>
        <w:gridCol w:w="1540"/>
        <w:gridCol w:w="2180"/>
      </w:tblGrid>
      <w:tr w:rsidR="00B32A95" w:rsidRPr="00B32A95" w14:paraId="63A4F314" w14:textId="77777777" w:rsidTr="00B32A95">
        <w:trPr>
          <w:trHeight w:val="315"/>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B0F9D61" w14:textId="77777777" w:rsidR="00B32A95" w:rsidRPr="00B32A95" w:rsidRDefault="00B32A95" w:rsidP="00B32A95">
            <w:pPr>
              <w:spacing w:line="240" w:lineRule="auto"/>
              <w:ind w:left="0"/>
              <w:jc w:val="center"/>
              <w:rPr>
                <w:rFonts w:ascii="Arial" w:eastAsia="Times New Roman" w:hAnsi="Arial" w:cs="Arial"/>
                <w:b/>
                <w:bCs/>
                <w:color w:val="000000"/>
                <w:sz w:val="18"/>
                <w:szCs w:val="18"/>
              </w:rPr>
            </w:pPr>
            <w:r w:rsidRPr="00B32A95">
              <w:rPr>
                <w:rFonts w:ascii="Arial" w:eastAsia="Times New Roman" w:hAnsi="Arial" w:cs="Arial"/>
                <w:b/>
                <w:bCs/>
                <w:color w:val="000000"/>
                <w:sz w:val="18"/>
                <w:szCs w:val="18"/>
              </w:rPr>
              <w:t>Facility Type</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115451D" w14:textId="77777777" w:rsidR="00B32A95" w:rsidRPr="00B32A95" w:rsidRDefault="00B32A95" w:rsidP="00B32A95">
            <w:pPr>
              <w:spacing w:line="240" w:lineRule="auto"/>
              <w:ind w:left="0"/>
              <w:jc w:val="center"/>
              <w:rPr>
                <w:rFonts w:ascii="Arial" w:eastAsia="Times New Roman" w:hAnsi="Arial" w:cs="Arial"/>
                <w:b/>
                <w:bCs/>
                <w:color w:val="000000"/>
                <w:sz w:val="18"/>
                <w:szCs w:val="18"/>
              </w:rPr>
            </w:pPr>
            <w:r w:rsidRPr="00B32A95">
              <w:rPr>
                <w:rFonts w:ascii="Arial" w:eastAsia="Times New Roman" w:hAnsi="Arial" w:cs="Arial"/>
                <w:b/>
                <w:bCs/>
                <w:color w:val="000000"/>
                <w:sz w:val="18"/>
                <w:szCs w:val="18"/>
              </w:rPr>
              <w:t>Owner</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8095030" w14:textId="77777777" w:rsidR="00B32A95" w:rsidRPr="00B32A95" w:rsidRDefault="00B32A95" w:rsidP="00B32A95">
            <w:pPr>
              <w:spacing w:line="240" w:lineRule="auto"/>
              <w:ind w:left="0"/>
              <w:jc w:val="center"/>
              <w:rPr>
                <w:rFonts w:ascii="Arial" w:eastAsia="Times New Roman" w:hAnsi="Arial" w:cs="Arial"/>
                <w:b/>
                <w:bCs/>
                <w:color w:val="000000"/>
                <w:sz w:val="18"/>
                <w:szCs w:val="18"/>
              </w:rPr>
            </w:pPr>
            <w:r w:rsidRPr="00B32A95">
              <w:rPr>
                <w:rFonts w:ascii="Arial" w:eastAsia="Times New Roman" w:hAnsi="Arial" w:cs="Arial"/>
                <w:b/>
                <w:bCs/>
                <w:color w:val="000000"/>
                <w:sz w:val="18"/>
                <w:szCs w:val="18"/>
              </w:rPr>
              <w:t>Operator</w:t>
            </w:r>
          </w:p>
        </w:tc>
        <w:tc>
          <w:tcPr>
            <w:tcW w:w="2980" w:type="dxa"/>
            <w:gridSpan w:val="2"/>
            <w:tcBorders>
              <w:top w:val="single" w:sz="8" w:space="0" w:color="auto"/>
              <w:left w:val="nil"/>
              <w:bottom w:val="single" w:sz="8" w:space="0" w:color="auto"/>
              <w:right w:val="single" w:sz="8" w:space="0" w:color="000000"/>
            </w:tcBorders>
            <w:shd w:val="clear" w:color="000000" w:fill="F2F2F2"/>
            <w:vAlign w:val="center"/>
            <w:hideMark/>
          </w:tcPr>
          <w:p w14:paraId="78561594" w14:textId="77777777" w:rsidR="00B32A95" w:rsidRPr="00B32A95" w:rsidRDefault="00B32A95" w:rsidP="00B32A95">
            <w:pPr>
              <w:spacing w:line="240" w:lineRule="auto"/>
              <w:ind w:left="0"/>
              <w:jc w:val="center"/>
              <w:rPr>
                <w:rFonts w:ascii="Arial" w:eastAsia="Times New Roman" w:hAnsi="Arial" w:cs="Arial"/>
                <w:b/>
                <w:bCs/>
                <w:color w:val="000000"/>
                <w:sz w:val="18"/>
                <w:szCs w:val="18"/>
              </w:rPr>
            </w:pPr>
            <w:r w:rsidRPr="00B32A95">
              <w:rPr>
                <w:rFonts w:ascii="Arial" w:eastAsia="Times New Roman" w:hAnsi="Arial" w:cs="Arial"/>
                <w:b/>
                <w:bCs/>
                <w:color w:val="000000"/>
                <w:sz w:val="18"/>
                <w:szCs w:val="18"/>
              </w:rPr>
              <w:t>Maintenance Responsibility</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986CE4C" w14:textId="77777777" w:rsidR="00B32A95" w:rsidRPr="00B32A95" w:rsidRDefault="00B32A95" w:rsidP="00B32A95">
            <w:pPr>
              <w:spacing w:line="240" w:lineRule="auto"/>
              <w:ind w:left="0"/>
              <w:jc w:val="center"/>
              <w:rPr>
                <w:rFonts w:ascii="Arial" w:eastAsia="Times New Roman" w:hAnsi="Arial" w:cs="Arial"/>
                <w:b/>
                <w:bCs/>
                <w:color w:val="000000"/>
                <w:sz w:val="18"/>
                <w:szCs w:val="18"/>
              </w:rPr>
            </w:pPr>
            <w:r w:rsidRPr="00B32A95">
              <w:rPr>
                <w:rFonts w:ascii="Arial" w:eastAsia="Times New Roman" w:hAnsi="Arial" w:cs="Arial"/>
                <w:b/>
                <w:bCs/>
                <w:color w:val="000000"/>
                <w:sz w:val="18"/>
                <w:szCs w:val="18"/>
              </w:rPr>
              <w:t>Process Notes</w:t>
            </w:r>
          </w:p>
        </w:tc>
      </w:tr>
      <w:tr w:rsidR="00B32A95" w:rsidRPr="00B32A95" w14:paraId="7187740E" w14:textId="77777777" w:rsidTr="00B32A95">
        <w:trPr>
          <w:trHeight w:val="31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4A0E2C51" w14:textId="77777777" w:rsidR="00B32A95" w:rsidRPr="00B32A95" w:rsidRDefault="00B32A95" w:rsidP="00B32A95">
            <w:pPr>
              <w:spacing w:line="240" w:lineRule="auto"/>
              <w:ind w:left="0"/>
              <w:rPr>
                <w:rFonts w:ascii="Arial" w:eastAsia="Times New Roman" w:hAnsi="Arial" w:cs="Arial"/>
                <w:b/>
                <w:bCs/>
                <w:color w:val="000000"/>
                <w:sz w:val="18"/>
                <w:szCs w:val="18"/>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1CC70867" w14:textId="77777777" w:rsidR="00B32A95" w:rsidRPr="00B32A95" w:rsidRDefault="00B32A95" w:rsidP="00B32A95">
            <w:pPr>
              <w:spacing w:line="240" w:lineRule="auto"/>
              <w:ind w:left="0"/>
              <w:rPr>
                <w:rFonts w:ascii="Arial" w:eastAsia="Times New Roman"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1A9A1D41" w14:textId="77777777" w:rsidR="00B32A95" w:rsidRPr="00B32A95" w:rsidRDefault="00B32A95" w:rsidP="00B32A95">
            <w:pPr>
              <w:spacing w:line="240" w:lineRule="auto"/>
              <w:ind w:left="0"/>
              <w:rPr>
                <w:rFonts w:ascii="Arial" w:eastAsia="Times New Roman" w:hAnsi="Arial" w:cs="Arial"/>
                <w:b/>
                <w:bCs/>
                <w:color w:val="000000"/>
                <w:sz w:val="18"/>
                <w:szCs w:val="18"/>
              </w:rPr>
            </w:pPr>
          </w:p>
        </w:tc>
        <w:tc>
          <w:tcPr>
            <w:tcW w:w="1440" w:type="dxa"/>
            <w:tcBorders>
              <w:top w:val="nil"/>
              <w:left w:val="nil"/>
              <w:bottom w:val="single" w:sz="8" w:space="0" w:color="auto"/>
              <w:right w:val="single" w:sz="8" w:space="0" w:color="auto"/>
            </w:tcBorders>
            <w:shd w:val="clear" w:color="000000" w:fill="F2F2F2"/>
            <w:vAlign w:val="center"/>
            <w:hideMark/>
          </w:tcPr>
          <w:p w14:paraId="2561052E" w14:textId="77777777" w:rsidR="00B32A95" w:rsidRPr="00B32A95" w:rsidRDefault="00B32A95" w:rsidP="00B32A95">
            <w:pPr>
              <w:spacing w:line="240" w:lineRule="auto"/>
              <w:ind w:left="0"/>
              <w:jc w:val="center"/>
              <w:rPr>
                <w:rFonts w:ascii="Arial" w:eastAsia="Times New Roman" w:hAnsi="Arial" w:cs="Arial"/>
                <w:b/>
                <w:bCs/>
                <w:color w:val="000000"/>
                <w:sz w:val="20"/>
                <w:szCs w:val="20"/>
              </w:rPr>
            </w:pPr>
            <w:r w:rsidRPr="00B32A95">
              <w:rPr>
                <w:rFonts w:ascii="Arial" w:eastAsia="Times New Roman" w:hAnsi="Arial" w:cs="Arial"/>
                <w:b/>
                <w:bCs/>
                <w:color w:val="000000"/>
                <w:sz w:val="20"/>
                <w:szCs w:val="20"/>
              </w:rPr>
              <w:t>Lead</w:t>
            </w:r>
          </w:p>
        </w:tc>
        <w:tc>
          <w:tcPr>
            <w:tcW w:w="1540" w:type="dxa"/>
            <w:tcBorders>
              <w:top w:val="nil"/>
              <w:left w:val="nil"/>
              <w:bottom w:val="single" w:sz="8" w:space="0" w:color="auto"/>
              <w:right w:val="single" w:sz="8" w:space="0" w:color="auto"/>
            </w:tcBorders>
            <w:shd w:val="clear" w:color="000000" w:fill="F2F2F2"/>
            <w:vAlign w:val="center"/>
            <w:hideMark/>
          </w:tcPr>
          <w:p w14:paraId="161082E4" w14:textId="77777777" w:rsidR="00B32A95" w:rsidRPr="00B32A95" w:rsidRDefault="00B32A95" w:rsidP="00B32A95">
            <w:pPr>
              <w:spacing w:line="240" w:lineRule="auto"/>
              <w:ind w:left="0"/>
              <w:jc w:val="center"/>
              <w:rPr>
                <w:rFonts w:ascii="Arial" w:eastAsia="Times New Roman" w:hAnsi="Arial" w:cs="Arial"/>
                <w:b/>
                <w:bCs/>
                <w:color w:val="000000"/>
                <w:sz w:val="20"/>
                <w:szCs w:val="20"/>
              </w:rPr>
            </w:pPr>
            <w:r w:rsidRPr="00B32A95">
              <w:rPr>
                <w:rFonts w:ascii="Arial" w:eastAsia="Times New Roman" w:hAnsi="Arial" w:cs="Arial"/>
                <w:b/>
                <w:bCs/>
                <w:color w:val="000000"/>
                <w:sz w:val="20"/>
                <w:szCs w:val="20"/>
              </w:rPr>
              <w:t>Assist</w:t>
            </w:r>
          </w:p>
        </w:tc>
        <w:tc>
          <w:tcPr>
            <w:tcW w:w="2180" w:type="dxa"/>
            <w:vMerge/>
            <w:tcBorders>
              <w:top w:val="single" w:sz="8" w:space="0" w:color="auto"/>
              <w:left w:val="single" w:sz="8" w:space="0" w:color="auto"/>
              <w:bottom w:val="single" w:sz="8" w:space="0" w:color="000000"/>
              <w:right w:val="single" w:sz="8" w:space="0" w:color="auto"/>
            </w:tcBorders>
            <w:vAlign w:val="center"/>
            <w:hideMark/>
          </w:tcPr>
          <w:p w14:paraId="127A1BC1" w14:textId="77777777" w:rsidR="00B32A95" w:rsidRPr="00B32A95" w:rsidRDefault="00B32A95" w:rsidP="00B32A95">
            <w:pPr>
              <w:spacing w:line="240" w:lineRule="auto"/>
              <w:ind w:left="0"/>
              <w:rPr>
                <w:rFonts w:ascii="Arial" w:eastAsia="Times New Roman" w:hAnsi="Arial" w:cs="Arial"/>
                <w:b/>
                <w:bCs/>
                <w:color w:val="000000"/>
                <w:sz w:val="18"/>
                <w:szCs w:val="18"/>
              </w:rPr>
            </w:pPr>
          </w:p>
        </w:tc>
      </w:tr>
      <w:tr w:rsidR="00B32A95" w:rsidRPr="00B32A95" w14:paraId="262C4275" w14:textId="77777777" w:rsidTr="00B32A95">
        <w:trPr>
          <w:trHeight w:val="300"/>
        </w:trPr>
        <w:tc>
          <w:tcPr>
            <w:tcW w:w="1720" w:type="dxa"/>
            <w:vMerge w:val="restart"/>
            <w:tcBorders>
              <w:top w:val="nil"/>
              <w:left w:val="single" w:sz="8" w:space="0" w:color="auto"/>
              <w:bottom w:val="nil"/>
              <w:right w:val="single" w:sz="8" w:space="0" w:color="auto"/>
            </w:tcBorders>
            <w:shd w:val="clear" w:color="auto" w:fill="auto"/>
            <w:vAlign w:val="center"/>
            <w:hideMark/>
          </w:tcPr>
          <w:p w14:paraId="747C3F15"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 xml:space="preserve">Building (e.g. passenger terminal, garage, administrative office) </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14:paraId="5D8D0E86"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MaineDOT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07731B4D"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Maine State Ferry Service (MaineDOT)</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65EB0CAC"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M&amp;O Multimodal Transportation Operations Managers</w:t>
            </w:r>
          </w:p>
        </w:tc>
        <w:tc>
          <w:tcPr>
            <w:tcW w:w="1540" w:type="dxa"/>
            <w:tcBorders>
              <w:top w:val="nil"/>
              <w:left w:val="nil"/>
              <w:bottom w:val="nil"/>
              <w:right w:val="single" w:sz="8" w:space="0" w:color="auto"/>
            </w:tcBorders>
            <w:shd w:val="clear" w:color="auto" w:fill="auto"/>
            <w:vAlign w:val="center"/>
            <w:hideMark/>
          </w:tcPr>
          <w:p w14:paraId="05520911"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MSFS Staff</w:t>
            </w:r>
          </w:p>
        </w:tc>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373277D7"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MaineDOT performs biennial facility inspections</w:t>
            </w:r>
          </w:p>
        </w:tc>
      </w:tr>
      <w:tr w:rsidR="00B32A95" w:rsidRPr="00B32A95" w14:paraId="55BE9A06" w14:textId="77777777" w:rsidTr="00B32A95">
        <w:trPr>
          <w:trHeight w:val="750"/>
        </w:trPr>
        <w:tc>
          <w:tcPr>
            <w:tcW w:w="1720" w:type="dxa"/>
            <w:vMerge/>
            <w:tcBorders>
              <w:top w:val="nil"/>
              <w:left w:val="single" w:sz="8" w:space="0" w:color="auto"/>
              <w:bottom w:val="nil"/>
              <w:right w:val="single" w:sz="8" w:space="0" w:color="auto"/>
            </w:tcBorders>
            <w:vAlign w:val="center"/>
            <w:hideMark/>
          </w:tcPr>
          <w:p w14:paraId="0AFE43B2"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14:paraId="5777B830"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340" w:type="dxa"/>
            <w:vMerge/>
            <w:tcBorders>
              <w:top w:val="nil"/>
              <w:left w:val="single" w:sz="8" w:space="0" w:color="auto"/>
              <w:bottom w:val="single" w:sz="8" w:space="0" w:color="000000"/>
              <w:right w:val="single" w:sz="8" w:space="0" w:color="auto"/>
            </w:tcBorders>
            <w:vAlign w:val="center"/>
            <w:hideMark/>
          </w:tcPr>
          <w:p w14:paraId="26E1EFF1"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440" w:type="dxa"/>
            <w:vMerge/>
            <w:tcBorders>
              <w:top w:val="nil"/>
              <w:left w:val="single" w:sz="8" w:space="0" w:color="auto"/>
              <w:bottom w:val="single" w:sz="8" w:space="0" w:color="000000"/>
              <w:right w:val="single" w:sz="8" w:space="0" w:color="auto"/>
            </w:tcBorders>
            <w:vAlign w:val="center"/>
            <w:hideMark/>
          </w:tcPr>
          <w:p w14:paraId="44BEB69C"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14:paraId="63705224"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MSFS contracts for winter maintenance</w:t>
            </w:r>
          </w:p>
        </w:tc>
        <w:tc>
          <w:tcPr>
            <w:tcW w:w="2180" w:type="dxa"/>
            <w:vMerge/>
            <w:tcBorders>
              <w:top w:val="nil"/>
              <w:left w:val="single" w:sz="8" w:space="0" w:color="auto"/>
              <w:bottom w:val="single" w:sz="8" w:space="0" w:color="000000"/>
              <w:right w:val="single" w:sz="8" w:space="0" w:color="auto"/>
            </w:tcBorders>
            <w:vAlign w:val="center"/>
            <w:hideMark/>
          </w:tcPr>
          <w:p w14:paraId="670C1641" w14:textId="77777777" w:rsidR="00B32A95" w:rsidRPr="00B32A95" w:rsidRDefault="00B32A95" w:rsidP="00B32A95">
            <w:pPr>
              <w:spacing w:line="240" w:lineRule="auto"/>
              <w:ind w:left="0"/>
              <w:rPr>
                <w:rFonts w:ascii="Arial" w:eastAsia="Times New Roman" w:hAnsi="Arial" w:cs="Arial"/>
                <w:color w:val="000000"/>
                <w:sz w:val="18"/>
                <w:szCs w:val="18"/>
              </w:rPr>
            </w:pPr>
          </w:p>
        </w:tc>
      </w:tr>
      <w:tr w:rsidR="00B32A95" w:rsidRPr="00B32A95" w14:paraId="636D7061" w14:textId="77777777" w:rsidTr="00B32A95">
        <w:trPr>
          <w:trHeight w:val="2175"/>
        </w:trPr>
        <w:tc>
          <w:tcPr>
            <w:tcW w:w="1720" w:type="dxa"/>
            <w:vMerge/>
            <w:tcBorders>
              <w:top w:val="nil"/>
              <w:left w:val="single" w:sz="8" w:space="0" w:color="auto"/>
              <w:bottom w:val="nil"/>
              <w:right w:val="single" w:sz="8" w:space="0" w:color="auto"/>
            </w:tcBorders>
            <w:vAlign w:val="center"/>
            <w:hideMark/>
          </w:tcPr>
          <w:p w14:paraId="0C27ACED"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240" w:type="dxa"/>
            <w:vMerge/>
            <w:tcBorders>
              <w:top w:val="nil"/>
              <w:left w:val="single" w:sz="8" w:space="0" w:color="auto"/>
              <w:bottom w:val="single" w:sz="8" w:space="0" w:color="000000"/>
              <w:right w:val="single" w:sz="8" w:space="0" w:color="auto"/>
            </w:tcBorders>
            <w:vAlign w:val="center"/>
            <w:hideMark/>
          </w:tcPr>
          <w:p w14:paraId="6921C448"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340" w:type="dxa"/>
            <w:tcBorders>
              <w:top w:val="nil"/>
              <w:left w:val="nil"/>
              <w:bottom w:val="single" w:sz="8" w:space="0" w:color="auto"/>
              <w:right w:val="single" w:sz="8" w:space="0" w:color="auto"/>
            </w:tcBorders>
            <w:shd w:val="clear" w:color="auto" w:fill="auto"/>
            <w:vAlign w:val="center"/>
            <w:hideMark/>
          </w:tcPr>
          <w:p w14:paraId="4F73E33C"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 xml:space="preserve">Subrecipient transit provider </w:t>
            </w:r>
          </w:p>
        </w:tc>
        <w:tc>
          <w:tcPr>
            <w:tcW w:w="1440" w:type="dxa"/>
            <w:tcBorders>
              <w:top w:val="nil"/>
              <w:left w:val="nil"/>
              <w:bottom w:val="single" w:sz="8" w:space="0" w:color="auto"/>
              <w:right w:val="single" w:sz="8" w:space="0" w:color="auto"/>
            </w:tcBorders>
            <w:shd w:val="clear" w:color="auto" w:fill="auto"/>
            <w:vAlign w:val="center"/>
            <w:hideMark/>
          </w:tcPr>
          <w:p w14:paraId="2BE14FE9"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Specified in lease on case-by-case basis</w:t>
            </w:r>
          </w:p>
        </w:tc>
        <w:tc>
          <w:tcPr>
            <w:tcW w:w="1540" w:type="dxa"/>
            <w:tcBorders>
              <w:top w:val="nil"/>
              <w:left w:val="nil"/>
              <w:bottom w:val="single" w:sz="8" w:space="0" w:color="auto"/>
              <w:right w:val="single" w:sz="8" w:space="0" w:color="auto"/>
            </w:tcBorders>
            <w:shd w:val="clear" w:color="auto" w:fill="auto"/>
            <w:vAlign w:val="center"/>
            <w:hideMark/>
          </w:tcPr>
          <w:p w14:paraId="7DC372AF" w14:textId="77777777" w:rsidR="00B32A95" w:rsidRPr="00B32A95" w:rsidRDefault="00B32A95" w:rsidP="00B32A95">
            <w:pPr>
              <w:spacing w:line="240" w:lineRule="auto"/>
              <w:ind w:left="0"/>
              <w:rPr>
                <w:rFonts w:ascii="Arial" w:eastAsia="Times New Roman" w:hAnsi="Arial" w:cs="Arial"/>
                <w:sz w:val="18"/>
                <w:szCs w:val="18"/>
              </w:rPr>
            </w:pPr>
            <w:r w:rsidRPr="00B32A95">
              <w:rPr>
                <w:rFonts w:ascii="Arial" w:eastAsia="Times New Roman" w:hAnsi="Arial" w:cs="Arial"/>
                <w:sz w:val="18"/>
                <w:szCs w:val="18"/>
              </w:rPr>
              <w:t>MaineDOT M&amp;O Region Office does biennial inspection and addresses minor capital repairs from annual budget</w:t>
            </w:r>
          </w:p>
        </w:tc>
        <w:tc>
          <w:tcPr>
            <w:tcW w:w="2180" w:type="dxa"/>
            <w:tcBorders>
              <w:top w:val="nil"/>
              <w:left w:val="nil"/>
              <w:bottom w:val="single" w:sz="8" w:space="0" w:color="auto"/>
              <w:right w:val="single" w:sz="8" w:space="0" w:color="auto"/>
            </w:tcBorders>
            <w:shd w:val="clear" w:color="auto" w:fill="auto"/>
            <w:vAlign w:val="center"/>
            <w:hideMark/>
          </w:tcPr>
          <w:p w14:paraId="4E13A9FF" w14:textId="77777777" w:rsidR="00B32A95" w:rsidRPr="00B32A95" w:rsidRDefault="00B32A95" w:rsidP="00B32A95">
            <w:pPr>
              <w:spacing w:line="240" w:lineRule="auto"/>
              <w:ind w:left="0"/>
              <w:rPr>
                <w:rFonts w:ascii="Arial" w:eastAsia="Times New Roman" w:hAnsi="Arial" w:cs="Arial"/>
                <w:sz w:val="18"/>
                <w:szCs w:val="18"/>
              </w:rPr>
            </w:pPr>
            <w:r w:rsidRPr="00B32A95">
              <w:rPr>
                <w:rFonts w:ascii="Arial" w:eastAsia="Times New Roman" w:hAnsi="Arial" w:cs="Arial"/>
                <w:sz w:val="18"/>
                <w:szCs w:val="18"/>
              </w:rPr>
              <w:t>Beginning in 2019, a joint biennial walk-thru of each facility will be scheduled in the April – July timeframe with report compiled by Region staff and shared with provider and Transit Asset Manager</w:t>
            </w:r>
          </w:p>
        </w:tc>
      </w:tr>
      <w:tr w:rsidR="00B32A95" w:rsidRPr="00B32A95" w14:paraId="1837F8FA" w14:textId="77777777" w:rsidTr="00B32A95">
        <w:trPr>
          <w:trHeight w:val="975"/>
        </w:trPr>
        <w:tc>
          <w:tcPr>
            <w:tcW w:w="1720" w:type="dxa"/>
            <w:vMerge/>
            <w:tcBorders>
              <w:top w:val="nil"/>
              <w:left w:val="single" w:sz="8" w:space="0" w:color="auto"/>
              <w:bottom w:val="nil"/>
              <w:right w:val="single" w:sz="8" w:space="0" w:color="auto"/>
            </w:tcBorders>
            <w:vAlign w:val="center"/>
            <w:hideMark/>
          </w:tcPr>
          <w:p w14:paraId="787D23C8"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73D2BB18"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340" w:type="dxa"/>
            <w:tcBorders>
              <w:top w:val="nil"/>
              <w:left w:val="nil"/>
              <w:bottom w:val="single" w:sz="8" w:space="0" w:color="auto"/>
              <w:right w:val="single" w:sz="8" w:space="0" w:color="auto"/>
            </w:tcBorders>
            <w:shd w:val="clear" w:color="auto" w:fill="auto"/>
            <w:vAlign w:val="center"/>
            <w:hideMark/>
          </w:tcPr>
          <w:p w14:paraId="76608944"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440" w:type="dxa"/>
            <w:tcBorders>
              <w:top w:val="nil"/>
              <w:left w:val="nil"/>
              <w:bottom w:val="single" w:sz="8" w:space="0" w:color="auto"/>
              <w:right w:val="single" w:sz="8" w:space="0" w:color="auto"/>
            </w:tcBorders>
            <w:shd w:val="clear" w:color="auto" w:fill="auto"/>
            <w:vAlign w:val="center"/>
            <w:hideMark/>
          </w:tcPr>
          <w:p w14:paraId="707EF827"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540" w:type="dxa"/>
            <w:tcBorders>
              <w:top w:val="nil"/>
              <w:left w:val="nil"/>
              <w:bottom w:val="single" w:sz="8" w:space="0" w:color="auto"/>
              <w:right w:val="single" w:sz="8" w:space="0" w:color="auto"/>
            </w:tcBorders>
            <w:shd w:val="clear" w:color="auto" w:fill="auto"/>
            <w:vAlign w:val="center"/>
            <w:hideMark/>
          </w:tcPr>
          <w:p w14:paraId="5202D326"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N/A</w:t>
            </w:r>
          </w:p>
        </w:tc>
        <w:tc>
          <w:tcPr>
            <w:tcW w:w="2180" w:type="dxa"/>
            <w:tcBorders>
              <w:top w:val="nil"/>
              <w:left w:val="nil"/>
              <w:bottom w:val="single" w:sz="8" w:space="0" w:color="auto"/>
              <w:right w:val="single" w:sz="8" w:space="0" w:color="auto"/>
            </w:tcBorders>
            <w:shd w:val="clear" w:color="auto" w:fill="auto"/>
            <w:vAlign w:val="center"/>
            <w:hideMark/>
          </w:tcPr>
          <w:p w14:paraId="516B30B2" w14:textId="6C542C33" w:rsidR="00B32A95" w:rsidRPr="00B32A95" w:rsidRDefault="00B32A95" w:rsidP="00B32A95">
            <w:pPr>
              <w:spacing w:line="240" w:lineRule="auto"/>
              <w:ind w:left="0"/>
              <w:rPr>
                <w:rFonts w:ascii="Arial" w:eastAsia="Times New Roman" w:hAnsi="Arial" w:cs="Arial"/>
                <w:sz w:val="18"/>
                <w:szCs w:val="18"/>
              </w:rPr>
            </w:pPr>
            <w:r w:rsidRPr="00B32A95">
              <w:rPr>
                <w:rFonts w:ascii="Arial" w:eastAsia="Times New Roman" w:hAnsi="Arial" w:cs="Arial"/>
                <w:sz w:val="18"/>
                <w:szCs w:val="18"/>
              </w:rPr>
              <w:t>A biennial condition assessment will be submitted to the Transit Asset Manager</w:t>
            </w:r>
          </w:p>
        </w:tc>
      </w:tr>
      <w:tr w:rsidR="004D00BB" w:rsidRPr="00B32A95" w14:paraId="32215F52" w14:textId="77777777" w:rsidTr="00BA7FF6">
        <w:trPr>
          <w:trHeight w:val="750"/>
        </w:trPr>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576045"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Parking Lot</w:t>
            </w:r>
          </w:p>
        </w:tc>
        <w:tc>
          <w:tcPr>
            <w:tcW w:w="1240" w:type="dxa"/>
            <w:vMerge w:val="restart"/>
            <w:tcBorders>
              <w:top w:val="nil"/>
              <w:left w:val="nil"/>
              <w:right w:val="single" w:sz="8" w:space="0" w:color="auto"/>
            </w:tcBorders>
            <w:shd w:val="clear" w:color="auto" w:fill="auto"/>
            <w:vAlign w:val="center"/>
            <w:hideMark/>
          </w:tcPr>
          <w:p w14:paraId="74DE9CFC" w14:textId="77777777" w:rsidR="004D00BB" w:rsidRPr="00B32A95" w:rsidRDefault="004D00BB"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MaineDOT</w:t>
            </w:r>
          </w:p>
          <w:p w14:paraId="5114FB8D" w14:textId="1B396C28" w:rsidR="004D00BB" w:rsidRPr="00B32A95" w:rsidRDefault="004D00BB" w:rsidP="00B32A95">
            <w:pPr>
              <w:spacing w:line="240" w:lineRule="auto"/>
              <w:ind w:left="0" w:firstLineChars="200" w:firstLine="360"/>
              <w:rPr>
                <w:rFonts w:ascii="Arial" w:eastAsia="Times New Roman" w:hAnsi="Arial" w:cs="Arial"/>
                <w:color w:val="000000"/>
                <w:sz w:val="18"/>
                <w:szCs w:val="18"/>
              </w:rPr>
            </w:pPr>
            <w:r w:rsidRPr="00B32A95">
              <w:rPr>
                <w:rFonts w:ascii="Arial" w:eastAsia="Times New Roman" w:hAnsi="Arial" w:cs="Arial"/>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2D032AD0"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Maine State Ferry Service (MaineDOT)</w:t>
            </w:r>
          </w:p>
        </w:tc>
        <w:tc>
          <w:tcPr>
            <w:tcW w:w="1440" w:type="dxa"/>
            <w:tcBorders>
              <w:top w:val="nil"/>
              <w:left w:val="nil"/>
              <w:bottom w:val="single" w:sz="8" w:space="0" w:color="auto"/>
              <w:right w:val="single" w:sz="8" w:space="0" w:color="auto"/>
            </w:tcBorders>
            <w:shd w:val="clear" w:color="auto" w:fill="auto"/>
            <w:vAlign w:val="center"/>
            <w:hideMark/>
          </w:tcPr>
          <w:p w14:paraId="6D8E3830"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Region office</w:t>
            </w:r>
          </w:p>
        </w:tc>
        <w:tc>
          <w:tcPr>
            <w:tcW w:w="1540" w:type="dxa"/>
            <w:tcBorders>
              <w:top w:val="nil"/>
              <w:left w:val="nil"/>
              <w:bottom w:val="single" w:sz="8" w:space="0" w:color="auto"/>
              <w:right w:val="single" w:sz="8" w:space="0" w:color="auto"/>
            </w:tcBorders>
            <w:shd w:val="clear" w:color="auto" w:fill="auto"/>
            <w:vAlign w:val="center"/>
            <w:hideMark/>
          </w:tcPr>
          <w:p w14:paraId="040E8659"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MSFS Staff watch on daily basis</w:t>
            </w:r>
          </w:p>
        </w:tc>
        <w:tc>
          <w:tcPr>
            <w:tcW w:w="2180" w:type="dxa"/>
            <w:tcBorders>
              <w:top w:val="nil"/>
              <w:left w:val="nil"/>
              <w:bottom w:val="single" w:sz="8" w:space="0" w:color="auto"/>
              <w:right w:val="single" w:sz="8" w:space="0" w:color="auto"/>
            </w:tcBorders>
            <w:shd w:val="clear" w:color="auto" w:fill="auto"/>
            <w:vAlign w:val="center"/>
            <w:hideMark/>
          </w:tcPr>
          <w:p w14:paraId="3C44B004"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MaineDOT performs biennial inspections</w:t>
            </w:r>
          </w:p>
        </w:tc>
      </w:tr>
      <w:tr w:rsidR="004D00BB" w:rsidRPr="00B32A95" w14:paraId="6292AAA2" w14:textId="77777777" w:rsidTr="00BA7FF6">
        <w:trPr>
          <w:trHeight w:val="97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4552ACC6" w14:textId="77777777" w:rsidR="004D00BB" w:rsidRPr="00B32A95" w:rsidRDefault="004D00BB" w:rsidP="00B32A95">
            <w:pPr>
              <w:spacing w:line="240" w:lineRule="auto"/>
              <w:ind w:left="0"/>
              <w:rPr>
                <w:rFonts w:ascii="Arial" w:eastAsia="Times New Roman" w:hAnsi="Arial" w:cs="Arial"/>
                <w:color w:val="000000"/>
                <w:sz w:val="18"/>
                <w:szCs w:val="18"/>
              </w:rPr>
            </w:pPr>
          </w:p>
        </w:tc>
        <w:tc>
          <w:tcPr>
            <w:tcW w:w="1240" w:type="dxa"/>
            <w:vMerge/>
            <w:tcBorders>
              <w:left w:val="nil"/>
              <w:bottom w:val="single" w:sz="8" w:space="0" w:color="auto"/>
              <w:right w:val="single" w:sz="8" w:space="0" w:color="auto"/>
            </w:tcBorders>
            <w:shd w:val="clear" w:color="auto" w:fill="auto"/>
            <w:vAlign w:val="center"/>
            <w:hideMark/>
          </w:tcPr>
          <w:p w14:paraId="0FBAF58F" w14:textId="429BFA50" w:rsidR="004D00BB" w:rsidRPr="00B32A95" w:rsidRDefault="004D00BB" w:rsidP="00B32A95">
            <w:pPr>
              <w:spacing w:line="240" w:lineRule="auto"/>
              <w:ind w:left="0" w:firstLineChars="200" w:firstLine="360"/>
              <w:rPr>
                <w:rFonts w:ascii="Arial" w:eastAsia="Times New Roman" w:hAnsi="Arial" w:cs="Arial"/>
                <w:color w:val="000000"/>
                <w:sz w:val="18"/>
                <w:szCs w:val="18"/>
              </w:rPr>
            </w:pPr>
          </w:p>
        </w:tc>
        <w:tc>
          <w:tcPr>
            <w:tcW w:w="1340" w:type="dxa"/>
            <w:tcBorders>
              <w:top w:val="nil"/>
              <w:left w:val="nil"/>
              <w:bottom w:val="single" w:sz="8" w:space="0" w:color="auto"/>
              <w:right w:val="single" w:sz="8" w:space="0" w:color="auto"/>
            </w:tcBorders>
            <w:shd w:val="clear" w:color="auto" w:fill="auto"/>
            <w:vAlign w:val="center"/>
            <w:hideMark/>
          </w:tcPr>
          <w:p w14:paraId="126B2952"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440" w:type="dxa"/>
            <w:tcBorders>
              <w:top w:val="nil"/>
              <w:left w:val="nil"/>
              <w:bottom w:val="single" w:sz="8" w:space="0" w:color="auto"/>
              <w:right w:val="single" w:sz="8" w:space="0" w:color="auto"/>
            </w:tcBorders>
            <w:shd w:val="clear" w:color="auto" w:fill="auto"/>
            <w:vAlign w:val="center"/>
            <w:hideMark/>
          </w:tcPr>
          <w:p w14:paraId="341CF55F"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Specified in lease on case-by-case basis</w:t>
            </w:r>
          </w:p>
        </w:tc>
        <w:tc>
          <w:tcPr>
            <w:tcW w:w="1540" w:type="dxa"/>
            <w:tcBorders>
              <w:top w:val="nil"/>
              <w:left w:val="nil"/>
              <w:bottom w:val="single" w:sz="8" w:space="0" w:color="auto"/>
              <w:right w:val="single" w:sz="8" w:space="0" w:color="auto"/>
            </w:tcBorders>
            <w:shd w:val="clear" w:color="auto" w:fill="auto"/>
            <w:vAlign w:val="center"/>
            <w:hideMark/>
          </w:tcPr>
          <w:p w14:paraId="55FE1B65" w14:textId="77777777" w:rsidR="004D00BB" w:rsidRPr="00B32A95" w:rsidRDefault="004D00BB" w:rsidP="00B32A95">
            <w:pPr>
              <w:spacing w:line="240" w:lineRule="auto"/>
              <w:ind w:left="0" w:firstLineChars="200" w:firstLine="360"/>
              <w:rPr>
                <w:rFonts w:ascii="Arial" w:eastAsia="Times New Roman" w:hAnsi="Arial" w:cs="Arial"/>
                <w:color w:val="000000"/>
                <w:sz w:val="18"/>
                <w:szCs w:val="18"/>
              </w:rPr>
            </w:pPr>
            <w:r w:rsidRPr="00B32A95">
              <w:rPr>
                <w:rFonts w:ascii="Arial" w:eastAsia="Times New Roman" w:hAnsi="Arial" w:cs="Arial"/>
                <w:color w:val="000000"/>
                <w:sz w:val="18"/>
                <w:szCs w:val="18"/>
              </w:rPr>
              <w:t> </w:t>
            </w:r>
          </w:p>
        </w:tc>
        <w:tc>
          <w:tcPr>
            <w:tcW w:w="2180" w:type="dxa"/>
            <w:tcBorders>
              <w:top w:val="nil"/>
              <w:left w:val="nil"/>
              <w:bottom w:val="single" w:sz="8" w:space="0" w:color="auto"/>
              <w:right w:val="single" w:sz="8" w:space="0" w:color="auto"/>
            </w:tcBorders>
            <w:shd w:val="clear" w:color="auto" w:fill="auto"/>
            <w:vAlign w:val="center"/>
            <w:hideMark/>
          </w:tcPr>
          <w:p w14:paraId="106DE263"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Review parking lot condition as part of biennial joint building inspection</w:t>
            </w:r>
          </w:p>
        </w:tc>
      </w:tr>
      <w:tr w:rsidR="00B32A95" w:rsidRPr="00B32A95" w14:paraId="27C84D4C" w14:textId="77777777" w:rsidTr="00B32A95">
        <w:trPr>
          <w:trHeight w:val="750"/>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2FA8EB4F"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7E580319"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340" w:type="dxa"/>
            <w:tcBorders>
              <w:top w:val="nil"/>
              <w:left w:val="nil"/>
              <w:bottom w:val="single" w:sz="8" w:space="0" w:color="auto"/>
              <w:right w:val="single" w:sz="8" w:space="0" w:color="auto"/>
            </w:tcBorders>
            <w:shd w:val="clear" w:color="auto" w:fill="auto"/>
            <w:vAlign w:val="center"/>
            <w:hideMark/>
          </w:tcPr>
          <w:p w14:paraId="117BC847"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440" w:type="dxa"/>
            <w:tcBorders>
              <w:top w:val="nil"/>
              <w:left w:val="nil"/>
              <w:bottom w:val="single" w:sz="8" w:space="0" w:color="auto"/>
              <w:right w:val="single" w:sz="8" w:space="0" w:color="auto"/>
            </w:tcBorders>
            <w:shd w:val="clear" w:color="auto" w:fill="auto"/>
            <w:vAlign w:val="center"/>
            <w:hideMark/>
          </w:tcPr>
          <w:p w14:paraId="54BEF860"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540" w:type="dxa"/>
            <w:tcBorders>
              <w:top w:val="nil"/>
              <w:left w:val="nil"/>
              <w:bottom w:val="single" w:sz="8" w:space="0" w:color="auto"/>
              <w:right w:val="single" w:sz="8" w:space="0" w:color="auto"/>
            </w:tcBorders>
            <w:shd w:val="clear" w:color="auto" w:fill="auto"/>
            <w:vAlign w:val="center"/>
            <w:hideMark/>
          </w:tcPr>
          <w:p w14:paraId="3D4B57A3"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N/A</w:t>
            </w:r>
          </w:p>
        </w:tc>
        <w:tc>
          <w:tcPr>
            <w:tcW w:w="2180" w:type="dxa"/>
            <w:tcBorders>
              <w:top w:val="nil"/>
              <w:left w:val="nil"/>
              <w:bottom w:val="single" w:sz="8" w:space="0" w:color="auto"/>
              <w:right w:val="single" w:sz="8" w:space="0" w:color="auto"/>
            </w:tcBorders>
            <w:shd w:val="clear" w:color="auto" w:fill="auto"/>
            <w:vAlign w:val="center"/>
            <w:hideMark/>
          </w:tcPr>
          <w:p w14:paraId="0E6DDD1D" w14:textId="77777777" w:rsidR="00B32A95" w:rsidRPr="00B32A95" w:rsidRDefault="00B32A95" w:rsidP="00B32A95">
            <w:pPr>
              <w:spacing w:line="240" w:lineRule="auto"/>
              <w:ind w:left="0" w:firstLineChars="200" w:firstLine="360"/>
              <w:rPr>
                <w:rFonts w:ascii="Arial" w:eastAsia="Times New Roman" w:hAnsi="Arial" w:cs="Arial"/>
                <w:color w:val="000000"/>
                <w:sz w:val="18"/>
                <w:szCs w:val="18"/>
              </w:rPr>
            </w:pPr>
            <w:r w:rsidRPr="00B32A95">
              <w:rPr>
                <w:rFonts w:ascii="Arial" w:eastAsia="Times New Roman" w:hAnsi="Arial" w:cs="Arial"/>
                <w:color w:val="000000"/>
                <w:sz w:val="18"/>
                <w:szCs w:val="18"/>
              </w:rPr>
              <w:t> </w:t>
            </w:r>
          </w:p>
        </w:tc>
      </w:tr>
      <w:tr w:rsidR="00B32A95" w:rsidRPr="00B32A95" w14:paraId="3A8A0C87" w14:textId="77777777" w:rsidTr="00B32A95">
        <w:trPr>
          <w:trHeight w:val="169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A4A1315"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Ferry Transfer Bridge (including integral equipment e.g. hoists)</w:t>
            </w:r>
          </w:p>
        </w:tc>
        <w:tc>
          <w:tcPr>
            <w:tcW w:w="1240" w:type="dxa"/>
            <w:tcBorders>
              <w:top w:val="nil"/>
              <w:left w:val="nil"/>
              <w:bottom w:val="single" w:sz="8" w:space="0" w:color="auto"/>
              <w:right w:val="single" w:sz="8" w:space="0" w:color="auto"/>
            </w:tcBorders>
            <w:shd w:val="clear" w:color="auto" w:fill="auto"/>
            <w:vAlign w:val="center"/>
            <w:hideMark/>
          </w:tcPr>
          <w:p w14:paraId="16CAE87E"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MaineDOT</w:t>
            </w:r>
          </w:p>
        </w:tc>
        <w:tc>
          <w:tcPr>
            <w:tcW w:w="1340" w:type="dxa"/>
            <w:tcBorders>
              <w:top w:val="nil"/>
              <w:left w:val="nil"/>
              <w:bottom w:val="single" w:sz="8" w:space="0" w:color="auto"/>
              <w:right w:val="single" w:sz="8" w:space="0" w:color="auto"/>
            </w:tcBorders>
            <w:shd w:val="clear" w:color="auto" w:fill="auto"/>
            <w:vAlign w:val="center"/>
            <w:hideMark/>
          </w:tcPr>
          <w:p w14:paraId="0145F7C7"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Maine State Ferry Service (MaineDOT)</w:t>
            </w:r>
          </w:p>
        </w:tc>
        <w:tc>
          <w:tcPr>
            <w:tcW w:w="1440" w:type="dxa"/>
            <w:tcBorders>
              <w:top w:val="nil"/>
              <w:left w:val="nil"/>
              <w:bottom w:val="single" w:sz="8" w:space="0" w:color="auto"/>
              <w:right w:val="single" w:sz="8" w:space="0" w:color="auto"/>
            </w:tcBorders>
            <w:shd w:val="clear" w:color="auto" w:fill="auto"/>
            <w:vAlign w:val="center"/>
            <w:hideMark/>
          </w:tcPr>
          <w:p w14:paraId="743F4423"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Region bridge maintenance staff</w:t>
            </w:r>
          </w:p>
        </w:tc>
        <w:tc>
          <w:tcPr>
            <w:tcW w:w="1540" w:type="dxa"/>
            <w:tcBorders>
              <w:top w:val="nil"/>
              <w:left w:val="nil"/>
              <w:bottom w:val="single" w:sz="8" w:space="0" w:color="auto"/>
              <w:right w:val="single" w:sz="8" w:space="0" w:color="auto"/>
            </w:tcBorders>
            <w:shd w:val="clear" w:color="auto" w:fill="auto"/>
            <w:vAlign w:val="center"/>
            <w:hideMark/>
          </w:tcPr>
          <w:p w14:paraId="3A25F16C"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MSFS operators observe daily</w:t>
            </w:r>
          </w:p>
        </w:tc>
        <w:tc>
          <w:tcPr>
            <w:tcW w:w="2180" w:type="dxa"/>
            <w:tcBorders>
              <w:top w:val="nil"/>
              <w:left w:val="nil"/>
              <w:bottom w:val="single" w:sz="8" w:space="0" w:color="auto"/>
              <w:right w:val="single" w:sz="8" w:space="0" w:color="auto"/>
            </w:tcBorders>
            <w:shd w:val="clear" w:color="auto" w:fill="auto"/>
            <w:vAlign w:val="center"/>
            <w:hideMark/>
          </w:tcPr>
          <w:p w14:paraId="5CAB813E"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Monthly, quarterly, semi-annual and annual maintenance services performed; Biennial inspections performed by MaineDOT to ID needs.</w:t>
            </w:r>
          </w:p>
        </w:tc>
      </w:tr>
      <w:tr w:rsidR="00B32A95" w:rsidRPr="00B32A95" w14:paraId="014DA295" w14:textId="77777777" w:rsidTr="00B32A95">
        <w:trPr>
          <w:trHeight w:val="975"/>
        </w:trPr>
        <w:tc>
          <w:tcPr>
            <w:tcW w:w="1720" w:type="dxa"/>
            <w:vMerge/>
            <w:tcBorders>
              <w:top w:val="nil"/>
              <w:left w:val="single" w:sz="8" w:space="0" w:color="auto"/>
              <w:bottom w:val="single" w:sz="8" w:space="0" w:color="000000"/>
              <w:right w:val="single" w:sz="8" w:space="0" w:color="auto"/>
            </w:tcBorders>
            <w:vAlign w:val="center"/>
            <w:hideMark/>
          </w:tcPr>
          <w:p w14:paraId="5D0F6B30"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338FE99A"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340" w:type="dxa"/>
            <w:tcBorders>
              <w:top w:val="nil"/>
              <w:left w:val="nil"/>
              <w:bottom w:val="single" w:sz="8" w:space="0" w:color="auto"/>
              <w:right w:val="single" w:sz="8" w:space="0" w:color="auto"/>
            </w:tcBorders>
            <w:shd w:val="clear" w:color="auto" w:fill="auto"/>
            <w:vAlign w:val="center"/>
            <w:hideMark/>
          </w:tcPr>
          <w:p w14:paraId="330198A1"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440" w:type="dxa"/>
            <w:tcBorders>
              <w:top w:val="nil"/>
              <w:left w:val="nil"/>
              <w:bottom w:val="single" w:sz="8" w:space="0" w:color="auto"/>
              <w:right w:val="single" w:sz="8" w:space="0" w:color="auto"/>
            </w:tcBorders>
            <w:shd w:val="clear" w:color="auto" w:fill="auto"/>
            <w:vAlign w:val="center"/>
            <w:hideMark/>
          </w:tcPr>
          <w:p w14:paraId="5F49309A"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540" w:type="dxa"/>
            <w:tcBorders>
              <w:top w:val="nil"/>
              <w:left w:val="nil"/>
              <w:bottom w:val="single" w:sz="8" w:space="0" w:color="auto"/>
              <w:right w:val="single" w:sz="8" w:space="0" w:color="auto"/>
            </w:tcBorders>
            <w:shd w:val="clear" w:color="auto" w:fill="auto"/>
            <w:vAlign w:val="center"/>
            <w:hideMark/>
          </w:tcPr>
          <w:p w14:paraId="15DA752A"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N/A</w:t>
            </w:r>
          </w:p>
        </w:tc>
        <w:tc>
          <w:tcPr>
            <w:tcW w:w="2180" w:type="dxa"/>
            <w:tcBorders>
              <w:top w:val="nil"/>
              <w:left w:val="nil"/>
              <w:bottom w:val="single" w:sz="8" w:space="0" w:color="auto"/>
              <w:right w:val="single" w:sz="8" w:space="0" w:color="auto"/>
            </w:tcBorders>
            <w:shd w:val="clear" w:color="auto" w:fill="auto"/>
            <w:vAlign w:val="center"/>
            <w:hideMark/>
          </w:tcPr>
          <w:p w14:paraId="78CD9157"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A biennial condition assessment will be submitted to the Transit Asset Manager</w:t>
            </w:r>
          </w:p>
        </w:tc>
      </w:tr>
      <w:tr w:rsidR="004D00BB" w:rsidRPr="00B32A95" w14:paraId="0ADDB78C" w14:textId="77777777" w:rsidTr="00BA7FF6">
        <w:trPr>
          <w:trHeight w:val="97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1A62D7DE"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Wharves, piers and docking facilities</w:t>
            </w:r>
          </w:p>
        </w:tc>
        <w:tc>
          <w:tcPr>
            <w:tcW w:w="1240" w:type="dxa"/>
            <w:vMerge w:val="restart"/>
            <w:tcBorders>
              <w:top w:val="nil"/>
              <w:left w:val="nil"/>
              <w:right w:val="single" w:sz="8" w:space="0" w:color="auto"/>
            </w:tcBorders>
            <w:shd w:val="clear" w:color="auto" w:fill="auto"/>
            <w:vAlign w:val="center"/>
            <w:hideMark/>
          </w:tcPr>
          <w:p w14:paraId="56D8A2CD" w14:textId="77777777" w:rsidR="004D00BB" w:rsidRPr="00B32A95" w:rsidRDefault="004D00BB"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MaineDOT</w:t>
            </w:r>
          </w:p>
          <w:p w14:paraId="5D0019CB" w14:textId="4FEA7467" w:rsidR="004D00BB" w:rsidRPr="00B32A95" w:rsidRDefault="004D00BB" w:rsidP="00B32A95">
            <w:pPr>
              <w:spacing w:line="240" w:lineRule="auto"/>
              <w:ind w:left="0" w:firstLineChars="200" w:firstLine="360"/>
              <w:rPr>
                <w:rFonts w:ascii="Arial" w:eastAsia="Times New Roman" w:hAnsi="Arial" w:cs="Arial"/>
                <w:color w:val="000000"/>
                <w:sz w:val="18"/>
                <w:szCs w:val="18"/>
              </w:rPr>
            </w:pPr>
            <w:r w:rsidRPr="00B32A95">
              <w:rPr>
                <w:rFonts w:ascii="Arial" w:eastAsia="Times New Roman" w:hAnsi="Arial" w:cs="Arial"/>
                <w:color w:val="000000"/>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67EA6449"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Maine State Ferry Service (MaineDOT)</w:t>
            </w:r>
          </w:p>
        </w:tc>
        <w:tc>
          <w:tcPr>
            <w:tcW w:w="1440" w:type="dxa"/>
            <w:tcBorders>
              <w:top w:val="nil"/>
              <w:left w:val="nil"/>
              <w:bottom w:val="single" w:sz="8" w:space="0" w:color="auto"/>
              <w:right w:val="single" w:sz="8" w:space="0" w:color="auto"/>
            </w:tcBorders>
            <w:shd w:val="clear" w:color="auto" w:fill="auto"/>
            <w:vAlign w:val="center"/>
            <w:hideMark/>
          </w:tcPr>
          <w:p w14:paraId="26163D75"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MSFS issues contract for annual evaluation ??</w:t>
            </w:r>
          </w:p>
        </w:tc>
        <w:tc>
          <w:tcPr>
            <w:tcW w:w="1540" w:type="dxa"/>
            <w:tcBorders>
              <w:top w:val="nil"/>
              <w:left w:val="nil"/>
              <w:bottom w:val="single" w:sz="8" w:space="0" w:color="auto"/>
              <w:right w:val="single" w:sz="8" w:space="0" w:color="auto"/>
            </w:tcBorders>
            <w:shd w:val="clear" w:color="auto" w:fill="auto"/>
            <w:vAlign w:val="center"/>
            <w:hideMark/>
          </w:tcPr>
          <w:p w14:paraId="3E406B6D"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Contractor performs underwater assessment</w:t>
            </w:r>
          </w:p>
        </w:tc>
        <w:tc>
          <w:tcPr>
            <w:tcW w:w="2180" w:type="dxa"/>
            <w:tcBorders>
              <w:top w:val="nil"/>
              <w:left w:val="nil"/>
              <w:bottom w:val="single" w:sz="8" w:space="0" w:color="auto"/>
              <w:right w:val="single" w:sz="8" w:space="0" w:color="auto"/>
            </w:tcBorders>
            <w:shd w:val="clear" w:color="auto" w:fill="auto"/>
            <w:vAlign w:val="center"/>
            <w:hideMark/>
          </w:tcPr>
          <w:p w14:paraId="4865F7BC"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Biennial inspections performed by MaineDOT to ID needs</w:t>
            </w:r>
          </w:p>
        </w:tc>
      </w:tr>
      <w:tr w:rsidR="004D00BB" w:rsidRPr="00B32A95" w14:paraId="5805337D" w14:textId="77777777" w:rsidTr="00BA7FF6">
        <w:trPr>
          <w:trHeight w:val="975"/>
        </w:trPr>
        <w:tc>
          <w:tcPr>
            <w:tcW w:w="1720" w:type="dxa"/>
            <w:vMerge/>
            <w:tcBorders>
              <w:top w:val="nil"/>
              <w:left w:val="single" w:sz="8" w:space="0" w:color="auto"/>
              <w:bottom w:val="single" w:sz="8" w:space="0" w:color="000000"/>
              <w:right w:val="single" w:sz="8" w:space="0" w:color="auto"/>
            </w:tcBorders>
            <w:vAlign w:val="center"/>
            <w:hideMark/>
          </w:tcPr>
          <w:p w14:paraId="76D73DF0" w14:textId="77777777" w:rsidR="004D00BB" w:rsidRPr="00B32A95" w:rsidRDefault="004D00BB" w:rsidP="00B32A95">
            <w:pPr>
              <w:spacing w:line="240" w:lineRule="auto"/>
              <w:ind w:left="0"/>
              <w:rPr>
                <w:rFonts w:ascii="Arial" w:eastAsia="Times New Roman" w:hAnsi="Arial" w:cs="Arial"/>
                <w:color w:val="000000"/>
                <w:sz w:val="18"/>
                <w:szCs w:val="18"/>
              </w:rPr>
            </w:pPr>
          </w:p>
        </w:tc>
        <w:tc>
          <w:tcPr>
            <w:tcW w:w="1240" w:type="dxa"/>
            <w:vMerge/>
            <w:tcBorders>
              <w:left w:val="nil"/>
              <w:bottom w:val="single" w:sz="8" w:space="0" w:color="auto"/>
              <w:right w:val="single" w:sz="8" w:space="0" w:color="auto"/>
            </w:tcBorders>
            <w:shd w:val="clear" w:color="auto" w:fill="auto"/>
            <w:vAlign w:val="center"/>
            <w:hideMark/>
          </w:tcPr>
          <w:p w14:paraId="3A70165A" w14:textId="5746EC00" w:rsidR="004D00BB" w:rsidRPr="00B32A95" w:rsidRDefault="004D00BB" w:rsidP="00B32A95">
            <w:pPr>
              <w:spacing w:line="240" w:lineRule="auto"/>
              <w:ind w:left="0" w:firstLineChars="200" w:firstLine="360"/>
              <w:rPr>
                <w:rFonts w:ascii="Arial" w:eastAsia="Times New Roman" w:hAnsi="Arial" w:cs="Arial"/>
                <w:color w:val="000000"/>
                <w:sz w:val="18"/>
                <w:szCs w:val="18"/>
              </w:rPr>
            </w:pPr>
          </w:p>
        </w:tc>
        <w:tc>
          <w:tcPr>
            <w:tcW w:w="1340" w:type="dxa"/>
            <w:tcBorders>
              <w:top w:val="nil"/>
              <w:left w:val="nil"/>
              <w:bottom w:val="single" w:sz="8" w:space="0" w:color="auto"/>
              <w:right w:val="single" w:sz="8" w:space="0" w:color="auto"/>
            </w:tcBorders>
            <w:shd w:val="clear" w:color="auto" w:fill="auto"/>
            <w:vAlign w:val="center"/>
            <w:hideMark/>
          </w:tcPr>
          <w:p w14:paraId="79163F67"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Casco Bay Islands</w:t>
            </w:r>
          </w:p>
        </w:tc>
        <w:tc>
          <w:tcPr>
            <w:tcW w:w="1440" w:type="dxa"/>
            <w:tcBorders>
              <w:top w:val="nil"/>
              <w:left w:val="nil"/>
              <w:bottom w:val="single" w:sz="8" w:space="0" w:color="auto"/>
              <w:right w:val="single" w:sz="8" w:space="0" w:color="auto"/>
            </w:tcBorders>
            <w:shd w:val="clear" w:color="auto" w:fill="auto"/>
            <w:vAlign w:val="center"/>
            <w:hideMark/>
          </w:tcPr>
          <w:p w14:paraId="658B41E9" w14:textId="77777777" w:rsidR="004D00BB" w:rsidRPr="00B32A95" w:rsidRDefault="004D00BB" w:rsidP="00B32A95">
            <w:pPr>
              <w:spacing w:line="240" w:lineRule="auto"/>
              <w:ind w:left="0" w:firstLineChars="200" w:firstLine="360"/>
              <w:rPr>
                <w:rFonts w:ascii="Arial" w:eastAsia="Times New Roman" w:hAnsi="Arial" w:cs="Arial"/>
                <w:color w:val="000000"/>
                <w:sz w:val="18"/>
                <w:szCs w:val="18"/>
              </w:rPr>
            </w:pPr>
            <w:r w:rsidRPr="00B32A95">
              <w:rPr>
                <w:rFonts w:ascii="Arial" w:eastAsia="Times New Roman" w:hAnsi="Arial" w:cs="Arial"/>
                <w:color w:val="000000"/>
                <w:sz w:val="18"/>
                <w:szCs w:val="18"/>
              </w:rPr>
              <w:t> </w:t>
            </w:r>
          </w:p>
        </w:tc>
        <w:tc>
          <w:tcPr>
            <w:tcW w:w="1540" w:type="dxa"/>
            <w:tcBorders>
              <w:top w:val="nil"/>
              <w:left w:val="nil"/>
              <w:bottom w:val="single" w:sz="8" w:space="0" w:color="auto"/>
              <w:right w:val="single" w:sz="8" w:space="0" w:color="auto"/>
            </w:tcBorders>
            <w:shd w:val="clear" w:color="auto" w:fill="auto"/>
            <w:vAlign w:val="center"/>
            <w:hideMark/>
          </w:tcPr>
          <w:p w14:paraId="2A6C6C46"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Informed by Casco Bay Island Transit District staff</w:t>
            </w:r>
          </w:p>
        </w:tc>
        <w:tc>
          <w:tcPr>
            <w:tcW w:w="2180" w:type="dxa"/>
            <w:tcBorders>
              <w:top w:val="nil"/>
              <w:left w:val="nil"/>
              <w:bottom w:val="single" w:sz="8" w:space="0" w:color="auto"/>
              <w:right w:val="single" w:sz="8" w:space="0" w:color="auto"/>
            </w:tcBorders>
            <w:shd w:val="clear" w:color="auto" w:fill="auto"/>
            <w:vAlign w:val="center"/>
            <w:hideMark/>
          </w:tcPr>
          <w:p w14:paraId="1C829119" w14:textId="77777777" w:rsidR="004D00BB" w:rsidRPr="00B32A95" w:rsidRDefault="004D00BB"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Joint Annual inspection performed on MaineDOT owned assets.</w:t>
            </w:r>
          </w:p>
        </w:tc>
      </w:tr>
      <w:tr w:rsidR="00B32A95" w:rsidRPr="00B32A95" w14:paraId="53E292AE" w14:textId="77777777" w:rsidTr="00B32A95">
        <w:trPr>
          <w:trHeight w:val="975"/>
        </w:trPr>
        <w:tc>
          <w:tcPr>
            <w:tcW w:w="1720" w:type="dxa"/>
            <w:vMerge/>
            <w:tcBorders>
              <w:top w:val="nil"/>
              <w:left w:val="single" w:sz="8" w:space="0" w:color="auto"/>
              <w:bottom w:val="single" w:sz="8" w:space="0" w:color="000000"/>
              <w:right w:val="single" w:sz="8" w:space="0" w:color="auto"/>
            </w:tcBorders>
            <w:vAlign w:val="center"/>
            <w:hideMark/>
          </w:tcPr>
          <w:p w14:paraId="5A952038" w14:textId="77777777" w:rsidR="00B32A95" w:rsidRPr="00B32A95" w:rsidRDefault="00B32A95" w:rsidP="00B32A95">
            <w:pPr>
              <w:spacing w:line="240" w:lineRule="auto"/>
              <w:ind w:left="0"/>
              <w:rPr>
                <w:rFonts w:ascii="Arial" w:eastAsia="Times New Roman"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2601EE12"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340" w:type="dxa"/>
            <w:tcBorders>
              <w:top w:val="nil"/>
              <w:left w:val="nil"/>
              <w:bottom w:val="single" w:sz="8" w:space="0" w:color="auto"/>
              <w:right w:val="single" w:sz="8" w:space="0" w:color="auto"/>
            </w:tcBorders>
            <w:shd w:val="clear" w:color="auto" w:fill="auto"/>
            <w:vAlign w:val="center"/>
            <w:hideMark/>
          </w:tcPr>
          <w:p w14:paraId="3316E755"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440" w:type="dxa"/>
            <w:tcBorders>
              <w:top w:val="nil"/>
              <w:left w:val="nil"/>
              <w:bottom w:val="single" w:sz="8" w:space="0" w:color="auto"/>
              <w:right w:val="single" w:sz="8" w:space="0" w:color="auto"/>
            </w:tcBorders>
            <w:shd w:val="clear" w:color="auto" w:fill="auto"/>
            <w:vAlign w:val="center"/>
            <w:hideMark/>
          </w:tcPr>
          <w:p w14:paraId="10B5639A"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Subrecipient transit provider</w:t>
            </w:r>
          </w:p>
        </w:tc>
        <w:tc>
          <w:tcPr>
            <w:tcW w:w="1540" w:type="dxa"/>
            <w:tcBorders>
              <w:top w:val="nil"/>
              <w:left w:val="nil"/>
              <w:bottom w:val="single" w:sz="8" w:space="0" w:color="auto"/>
              <w:right w:val="single" w:sz="8" w:space="0" w:color="auto"/>
            </w:tcBorders>
            <w:shd w:val="clear" w:color="auto" w:fill="auto"/>
            <w:vAlign w:val="center"/>
            <w:hideMark/>
          </w:tcPr>
          <w:p w14:paraId="19BAB582" w14:textId="77777777" w:rsidR="00B32A95" w:rsidRPr="00B32A95" w:rsidRDefault="00B32A95" w:rsidP="00B32A95">
            <w:pPr>
              <w:spacing w:line="240" w:lineRule="auto"/>
              <w:ind w:left="0"/>
              <w:jc w:val="center"/>
              <w:rPr>
                <w:rFonts w:ascii="Arial" w:eastAsia="Times New Roman" w:hAnsi="Arial" w:cs="Arial"/>
                <w:color w:val="000000"/>
                <w:sz w:val="18"/>
                <w:szCs w:val="18"/>
              </w:rPr>
            </w:pPr>
            <w:r w:rsidRPr="00B32A95">
              <w:rPr>
                <w:rFonts w:ascii="Arial" w:eastAsia="Times New Roman" w:hAnsi="Arial" w:cs="Arial"/>
                <w:color w:val="000000"/>
                <w:sz w:val="18"/>
                <w:szCs w:val="18"/>
              </w:rPr>
              <w:t>N/A</w:t>
            </w:r>
          </w:p>
        </w:tc>
        <w:tc>
          <w:tcPr>
            <w:tcW w:w="2180" w:type="dxa"/>
            <w:tcBorders>
              <w:top w:val="nil"/>
              <w:left w:val="nil"/>
              <w:bottom w:val="single" w:sz="8" w:space="0" w:color="auto"/>
              <w:right w:val="single" w:sz="8" w:space="0" w:color="auto"/>
            </w:tcBorders>
            <w:shd w:val="clear" w:color="auto" w:fill="auto"/>
            <w:vAlign w:val="center"/>
            <w:hideMark/>
          </w:tcPr>
          <w:p w14:paraId="2AD1F64C" w14:textId="77777777" w:rsidR="00B32A95" w:rsidRPr="00B32A95" w:rsidRDefault="00B32A95" w:rsidP="00B32A95">
            <w:pPr>
              <w:spacing w:line="240" w:lineRule="auto"/>
              <w:ind w:left="0"/>
              <w:rPr>
                <w:rFonts w:ascii="Arial" w:eastAsia="Times New Roman" w:hAnsi="Arial" w:cs="Arial"/>
                <w:color w:val="000000"/>
                <w:sz w:val="18"/>
                <w:szCs w:val="18"/>
              </w:rPr>
            </w:pPr>
            <w:r w:rsidRPr="00B32A95">
              <w:rPr>
                <w:rFonts w:ascii="Arial" w:eastAsia="Times New Roman" w:hAnsi="Arial" w:cs="Arial"/>
                <w:color w:val="000000"/>
                <w:sz w:val="18"/>
                <w:szCs w:val="18"/>
              </w:rPr>
              <w:t>A biennial condition assessment will be submitted to the Transit Asset Manager</w:t>
            </w:r>
          </w:p>
        </w:tc>
      </w:tr>
    </w:tbl>
    <w:p w14:paraId="6F349334" w14:textId="77777777" w:rsidR="009F3677" w:rsidRDefault="009F3677" w:rsidP="00871D6F">
      <w:pPr>
        <w:ind w:left="0"/>
        <w:rPr>
          <w:sz w:val="18"/>
          <w:szCs w:val="18"/>
        </w:rPr>
      </w:pPr>
    </w:p>
    <w:p w14:paraId="54D0DD00" w14:textId="77777777" w:rsidR="009F3677" w:rsidRDefault="009F3677" w:rsidP="00871D6F">
      <w:pPr>
        <w:ind w:left="0"/>
        <w:rPr>
          <w:sz w:val="18"/>
          <w:szCs w:val="18"/>
        </w:rPr>
      </w:pPr>
    </w:p>
    <w:p w14:paraId="0B92F022" w14:textId="77777777" w:rsidR="00740353" w:rsidRPr="004D0A15" w:rsidRDefault="00740353" w:rsidP="009F3677">
      <w:pPr>
        <w:ind w:left="0"/>
        <w:rPr>
          <w:b/>
        </w:rPr>
      </w:pPr>
      <w:r w:rsidRPr="004D0A15">
        <w:rPr>
          <w:b/>
        </w:rPr>
        <w:t>MaineDOT-Owned Facilities under Lease to Subrecipients</w:t>
      </w:r>
    </w:p>
    <w:p w14:paraId="77EF8B50" w14:textId="7EDDD0C4" w:rsidR="00330A05" w:rsidRDefault="00740353" w:rsidP="00330A05">
      <w:r w:rsidRPr="00740353">
        <w:t xml:space="preserve">The Aroostook Regional Transportation System leases </w:t>
      </w:r>
      <w:r w:rsidR="00C40C9F">
        <w:t>its</w:t>
      </w:r>
      <w:r w:rsidR="00C40C9F" w:rsidRPr="00740353">
        <w:t xml:space="preserve"> </w:t>
      </w:r>
      <w:r w:rsidRPr="00740353">
        <w:t>maintenance and administrative building from the Maine</w:t>
      </w:r>
      <w:r w:rsidR="00C40C9F">
        <w:t>DOT</w:t>
      </w:r>
      <w:r w:rsidRPr="00740353">
        <w:t xml:space="preserve">. The Executive Director is responsible for implementing </w:t>
      </w:r>
      <w:r w:rsidR="00C40C9F">
        <w:t>the System’s</w:t>
      </w:r>
      <w:r w:rsidR="00C40C9F" w:rsidRPr="00740353">
        <w:t xml:space="preserve"> </w:t>
      </w:r>
      <w:r w:rsidRPr="00740353">
        <w:t xml:space="preserve">written facility maintenance plan. The Mechanic performs inspections with Management to assure plan is followed. Problems are addressed once they are found during an inspection. Inspection checklists are used based on a daily, monthly, semi-annual, </w:t>
      </w:r>
      <w:r w:rsidR="007A3B74" w:rsidRPr="00740353">
        <w:t xml:space="preserve">annual, </w:t>
      </w:r>
      <w:r w:rsidRPr="00740353">
        <w:t>or 5-year basis.</w:t>
      </w:r>
    </w:p>
    <w:p w14:paraId="2D18EC58" w14:textId="77777777" w:rsidR="00330A05" w:rsidRDefault="00330A05" w:rsidP="00330A05"/>
    <w:p w14:paraId="368D431A" w14:textId="42D12FBE" w:rsidR="00740353" w:rsidRDefault="00740353" w:rsidP="00330A05">
      <w:pPr>
        <w:ind w:left="274"/>
        <w:rPr>
          <w:rFonts w:eastAsia="Cambria" w:cs="Cambria"/>
          <w:lang w:bidi="en-US"/>
        </w:rPr>
      </w:pPr>
      <w:r w:rsidRPr="00740353">
        <w:rPr>
          <w:rFonts w:eastAsia="Cambria" w:cs="Cambria"/>
          <w:lang w:bidi="en-US"/>
        </w:rPr>
        <w:t>MaineDOT owns and leases the maintenance and administrative facility known as Acadia Gateway Center to Downeast Transportation</w:t>
      </w:r>
      <w:r w:rsidR="00C40C9F">
        <w:rPr>
          <w:rFonts w:eastAsia="Cambria" w:cs="Cambria"/>
          <w:lang w:bidi="en-US"/>
        </w:rPr>
        <w:t>,</w:t>
      </w:r>
      <w:r w:rsidRPr="00740353">
        <w:rPr>
          <w:rFonts w:eastAsia="Cambria" w:cs="Cambria"/>
          <w:lang w:bidi="en-US"/>
        </w:rPr>
        <w:t xml:space="preserve"> Inc.</w:t>
      </w:r>
      <w:r w:rsidR="00C40C9F">
        <w:rPr>
          <w:rFonts w:eastAsia="Cambria" w:cs="Cambria"/>
          <w:lang w:bidi="en-US"/>
        </w:rPr>
        <w:t xml:space="preserve"> (DTI).</w:t>
      </w:r>
      <w:r w:rsidRPr="00740353">
        <w:rPr>
          <w:rFonts w:eastAsia="Cambria" w:cs="Cambria"/>
          <w:lang w:bidi="en-US"/>
        </w:rPr>
        <w:t xml:space="preserve"> MaineDOT is responsible for the major repairs and DTI is responsible for the minor repairs as outlined in the lease agreement.</w:t>
      </w:r>
    </w:p>
    <w:p w14:paraId="742E77E9" w14:textId="77777777" w:rsidR="00330A05" w:rsidRPr="00740353" w:rsidRDefault="00330A05" w:rsidP="00330A05">
      <w:pPr>
        <w:ind w:left="274"/>
      </w:pPr>
    </w:p>
    <w:p w14:paraId="07FC0ACD" w14:textId="77777777" w:rsidR="00740353" w:rsidRPr="00740353" w:rsidRDefault="00740353" w:rsidP="00740353"/>
    <w:p w14:paraId="6B370627" w14:textId="77777777" w:rsidR="00740353" w:rsidRPr="004D0A15" w:rsidRDefault="00740353" w:rsidP="00740353">
      <w:pPr>
        <w:rPr>
          <w:b/>
        </w:rPr>
      </w:pPr>
      <w:r w:rsidRPr="004D0A15">
        <w:rPr>
          <w:b/>
        </w:rPr>
        <w:t>Subrecipient-Owned and Operated Facilities</w:t>
      </w:r>
    </w:p>
    <w:p w14:paraId="38F40266" w14:textId="7F078AD9" w:rsidR="00740353" w:rsidRPr="00740353" w:rsidRDefault="00C40C9F" w:rsidP="00740353">
      <w:r>
        <w:t xml:space="preserve">Using private funds, </w:t>
      </w:r>
      <w:r w:rsidR="00740353" w:rsidRPr="00740353">
        <w:t>Western Maine Transportation Services, Inc. (WMTS)</w:t>
      </w:r>
      <w:r>
        <w:t xml:space="preserve"> </w:t>
      </w:r>
      <w:r w:rsidR="00740353" w:rsidRPr="00740353">
        <w:t>built a maintenance and administrative facility in 2006</w:t>
      </w:r>
      <w:r w:rsidR="007A3B74">
        <w:t xml:space="preserve">, </w:t>
      </w:r>
      <w:r w:rsidR="00EE0BBC">
        <w:t xml:space="preserve">and is </w:t>
      </w:r>
      <w:r w:rsidR="007A3B74">
        <w:t>in the process of being renovated using Federal Funds</w:t>
      </w:r>
      <w:r w:rsidR="00740353" w:rsidRPr="00740353">
        <w:t xml:space="preserve">. The facility presently maintains and supports rural and urban operations and </w:t>
      </w:r>
      <w:r w:rsidR="00740353" w:rsidRPr="00874A54">
        <w:t>provides additional parking for Concord Coach as needed</w:t>
      </w:r>
      <w:r w:rsidR="00740353" w:rsidRPr="00740353">
        <w:t>. The General Manager is responsible for implementation of the written facility maintenance plan</w:t>
      </w:r>
      <w:r>
        <w:t>;</w:t>
      </w:r>
      <w:r w:rsidR="00740353" w:rsidRPr="00740353">
        <w:t xml:space="preserve"> presently the plan consists of completing and maintaining monthly checklists of the facility and grounds and the</w:t>
      </w:r>
      <w:r>
        <w:t xml:space="preserve"> facility</w:t>
      </w:r>
      <w:r w:rsidR="00740353" w:rsidRPr="00740353">
        <w:t xml:space="preserve"> systems. The Maintenance Supervisor oversees the performance of inspections done by maintenance staff to assure plan is followed. Problems are addressed once they are found during an inspection. Inspection checklists are used based on a monthly, semi-annual</w:t>
      </w:r>
      <w:r w:rsidR="007A3B74">
        <w:t>,</w:t>
      </w:r>
      <w:r w:rsidR="00D734EB">
        <w:t xml:space="preserve"> or</w:t>
      </w:r>
      <w:r w:rsidR="007A3B74">
        <w:t xml:space="preserve"> </w:t>
      </w:r>
      <w:r w:rsidR="007A3B74" w:rsidRPr="00740353">
        <w:t>annual</w:t>
      </w:r>
      <w:r w:rsidR="00740353" w:rsidRPr="00740353">
        <w:t xml:space="preserve"> basis. </w:t>
      </w:r>
    </w:p>
    <w:p w14:paraId="040CE331" w14:textId="3A680A1F" w:rsidR="00740353" w:rsidRDefault="00740353" w:rsidP="00740353"/>
    <w:p w14:paraId="162837B9" w14:textId="6606DDB4" w:rsidR="005709D7" w:rsidRPr="00B1775C" w:rsidRDefault="005709D7" w:rsidP="00740353">
      <w:r w:rsidRPr="007F76D3">
        <w:rPr>
          <w:i/>
          <w:iCs/>
        </w:rPr>
        <w:t xml:space="preserve">Regional Transportation Program </w:t>
      </w:r>
      <w:r w:rsidR="001B1344">
        <w:rPr>
          <w:i/>
          <w:iCs/>
        </w:rPr>
        <w:t>finalized construction</w:t>
      </w:r>
      <w:r w:rsidRPr="007F76D3">
        <w:rPr>
          <w:i/>
          <w:iCs/>
        </w:rPr>
        <w:t xml:space="preserve"> of its new </w:t>
      </w:r>
      <w:r w:rsidRPr="007F76D3">
        <w:t>administration</w:t>
      </w:r>
      <w:r w:rsidRPr="007F76D3">
        <w:rPr>
          <w:i/>
          <w:iCs/>
        </w:rPr>
        <w:t xml:space="preserve"> and maintenance buildings </w:t>
      </w:r>
      <w:r w:rsidR="001B1344">
        <w:rPr>
          <w:i/>
          <w:iCs/>
        </w:rPr>
        <w:t xml:space="preserve">in </w:t>
      </w:r>
      <w:r w:rsidRPr="007F76D3">
        <w:rPr>
          <w:i/>
          <w:iCs/>
        </w:rPr>
        <w:t xml:space="preserve"> 2022.  The facility </w:t>
      </w:r>
      <w:r w:rsidR="001B1344">
        <w:rPr>
          <w:i/>
          <w:iCs/>
        </w:rPr>
        <w:t>was</w:t>
      </w:r>
      <w:r w:rsidRPr="007F76D3">
        <w:rPr>
          <w:i/>
          <w:iCs/>
        </w:rPr>
        <w:t xml:space="preserve"> completed using a combination of FTA funds, USDA funds and RTP local funds.  The facility maintenance plan is in the process of being completed; presently the proposed plan consists of completing and maintaining monthly checklists of the facility, grounds and the facility systems.</w:t>
      </w:r>
      <w:r w:rsidR="00EE0BBC">
        <w:rPr>
          <w:i/>
          <w:iCs/>
        </w:rPr>
        <w:t xml:space="preserve">  The Executive Director will be responsible for implementation of the plan.</w:t>
      </w:r>
      <w:r w:rsidRPr="007F76D3">
        <w:rPr>
          <w:i/>
          <w:iCs/>
        </w:rPr>
        <w:t xml:space="preserve">  The Manager of Transit Operations oversees the performance of </w:t>
      </w:r>
      <w:r w:rsidRPr="007F76D3">
        <w:rPr>
          <w:i/>
          <w:iCs/>
        </w:rPr>
        <w:lastRenderedPageBreak/>
        <w:t>inspections done by maintenance staff to assure the plan is followed.  Problems are addressed once they are found during an inspection.  Inspection checklists are used based on a monthly, semi-annual, or annual basis.</w:t>
      </w:r>
    </w:p>
    <w:p w14:paraId="7CAF9348" w14:textId="77777777" w:rsidR="007A3B74" w:rsidRPr="00740353" w:rsidRDefault="007A3B74" w:rsidP="00740353"/>
    <w:p w14:paraId="7D7483FF" w14:textId="52253C99" w:rsidR="00740353" w:rsidRDefault="00740353" w:rsidP="00740353">
      <w:r w:rsidRPr="00740353">
        <w:t xml:space="preserve">West’s Transportation used private funds to build </w:t>
      </w:r>
      <w:r w:rsidR="00C40C9F">
        <w:t>its</w:t>
      </w:r>
      <w:r w:rsidR="00C40C9F" w:rsidRPr="00740353">
        <w:t xml:space="preserve"> </w:t>
      </w:r>
      <w:r w:rsidRPr="00740353">
        <w:t xml:space="preserve">administrative building in 1985. The Manager is responsible for implementing </w:t>
      </w:r>
      <w:r w:rsidR="00C40C9F">
        <w:t>its</w:t>
      </w:r>
      <w:r w:rsidR="00C40C9F" w:rsidRPr="00740353">
        <w:t xml:space="preserve"> </w:t>
      </w:r>
      <w:r w:rsidRPr="00740353">
        <w:t xml:space="preserve">written facility maintenance plan. Inspection checklists are used based on a bi-weekly, monthly, </w:t>
      </w:r>
      <w:r w:rsidR="00D734EB">
        <w:t>semi-</w:t>
      </w:r>
      <w:r w:rsidRPr="00740353">
        <w:t xml:space="preserve">annual and annual basis. Problems are addressed once </w:t>
      </w:r>
      <w:r w:rsidR="002A0667">
        <w:t>found during inspection.</w:t>
      </w:r>
    </w:p>
    <w:p w14:paraId="760D6385" w14:textId="77777777" w:rsidR="002A0667" w:rsidRPr="00740353" w:rsidRDefault="002A0667" w:rsidP="00740353"/>
    <w:p w14:paraId="79F8CC7D" w14:textId="24424423" w:rsidR="00740353" w:rsidRPr="00740353" w:rsidRDefault="00740353" w:rsidP="00740353">
      <w:pPr>
        <w:rPr>
          <w:b/>
        </w:rPr>
      </w:pPr>
      <w:r w:rsidRPr="00740353">
        <w:rPr>
          <w:rFonts w:eastAsia="Times New Roman"/>
        </w:rPr>
        <w:t xml:space="preserve">Isle Au Haut’s Facilities Committee is responsible for a long-term plan recommending repairs and improvements for </w:t>
      </w:r>
      <w:r w:rsidR="0023090A">
        <w:rPr>
          <w:rFonts w:eastAsia="Times New Roman"/>
        </w:rPr>
        <w:t>its</w:t>
      </w:r>
      <w:r w:rsidR="0023090A" w:rsidRPr="00740353">
        <w:rPr>
          <w:rFonts w:eastAsia="Times New Roman"/>
        </w:rPr>
        <w:t xml:space="preserve"> </w:t>
      </w:r>
      <w:r w:rsidRPr="00740353">
        <w:rPr>
          <w:rFonts w:eastAsia="Times New Roman"/>
        </w:rPr>
        <w:t xml:space="preserve">assets. Repairs, in particular, are categorized either as needed for immediate safety and performance, for routine maintenance, and for desirable upgrades. Routine maintenance is part of the normal budgeting process. Items needed immediately for safety and performance are normally handled directly by management with notification to the Board. Longer term upgrades </w:t>
      </w:r>
      <w:r w:rsidR="002A0667">
        <w:rPr>
          <w:rFonts w:eastAsia="Times New Roman"/>
        </w:rPr>
        <w:t>are subject to Board oversight.</w:t>
      </w:r>
      <w:r w:rsidRPr="00740353">
        <w:rPr>
          <w:rFonts w:eastAsia="Times New Roman"/>
        </w:rPr>
        <w:br/>
      </w:r>
    </w:p>
    <w:p w14:paraId="58C9C52E" w14:textId="77777777" w:rsidR="00740353" w:rsidRPr="00740353" w:rsidRDefault="00740353" w:rsidP="00740353">
      <w:pPr>
        <w:rPr>
          <w:b/>
        </w:rPr>
      </w:pPr>
      <w:r w:rsidRPr="00740353">
        <w:rPr>
          <w:b/>
        </w:rPr>
        <w:t>Risk Management</w:t>
      </w:r>
    </w:p>
    <w:p w14:paraId="5BCAD062" w14:textId="0F768C8E" w:rsidR="00837124" w:rsidRDefault="00740353" w:rsidP="006F613E">
      <w:r w:rsidRPr="00740353">
        <w:t>All assets</w:t>
      </w:r>
      <w:r w:rsidR="001B1344">
        <w:t xml:space="preserve"> which are</w:t>
      </w:r>
      <w:r w:rsidRPr="00740353">
        <w:t xml:space="preserve"> owned by MaineDOT are insured with the State Office of Risk Management.  </w:t>
      </w:r>
      <w:bookmarkEnd w:id="9"/>
    </w:p>
    <w:p w14:paraId="09A645B1" w14:textId="1A1414C0" w:rsidR="009F3677" w:rsidRDefault="009F3677" w:rsidP="006F613E"/>
    <w:p w14:paraId="3958E847" w14:textId="7698D33D" w:rsidR="002A0667" w:rsidRDefault="002A0667" w:rsidP="007C4D9D">
      <w:pPr>
        <w:ind w:left="0"/>
        <w:rPr>
          <w:b/>
          <w:sz w:val="24"/>
          <w:szCs w:val="24"/>
        </w:rPr>
      </w:pPr>
      <w:r w:rsidRPr="002A0667">
        <w:rPr>
          <w:b/>
          <w:sz w:val="24"/>
          <w:szCs w:val="24"/>
        </w:rPr>
        <w:t>DATA COLLECTION</w:t>
      </w:r>
    </w:p>
    <w:p w14:paraId="724497E1" w14:textId="54F2D0FF" w:rsidR="002A0667" w:rsidRPr="007E6F80" w:rsidRDefault="002A0667" w:rsidP="007C4D9D">
      <w:pPr>
        <w:ind w:left="0"/>
      </w:pPr>
      <w:r w:rsidRPr="007E6F80">
        <w:t>Data are reported to the Transit Asset Manager annually using the forms displayed in Tables</w:t>
      </w:r>
      <w:r w:rsidR="007B29E1">
        <w:t xml:space="preserve"> 4, 5, and 6</w:t>
      </w:r>
      <w:r w:rsidRPr="007E6F80">
        <w:t>.</w:t>
      </w:r>
    </w:p>
    <w:p w14:paraId="3A4EBC21" w14:textId="77777777" w:rsidR="007B29E1" w:rsidRDefault="007B29E1" w:rsidP="00A57488">
      <w:pPr>
        <w:rPr>
          <w:b/>
        </w:rPr>
      </w:pPr>
      <w:bookmarkStart w:id="11" w:name="_Hlk525932045"/>
    </w:p>
    <w:p w14:paraId="4608AEB2" w14:textId="084C59E5" w:rsidR="00C109D0" w:rsidRDefault="00B050DA" w:rsidP="00A57488">
      <w:pPr>
        <w:rPr>
          <w:b/>
        </w:rPr>
      </w:pPr>
      <w:r w:rsidRPr="00364FAD">
        <w:rPr>
          <w:b/>
        </w:rPr>
        <w:t xml:space="preserve">Table </w:t>
      </w:r>
      <w:r w:rsidR="00A20AB5">
        <w:rPr>
          <w:b/>
        </w:rPr>
        <w:t>4</w:t>
      </w:r>
      <w:r w:rsidR="00A20AB5" w:rsidRPr="00364FAD">
        <w:rPr>
          <w:b/>
        </w:rPr>
        <w:t xml:space="preserve"> </w:t>
      </w:r>
      <w:r w:rsidR="00C7355C">
        <w:rPr>
          <w:b/>
        </w:rPr>
        <w:t>Maine</w:t>
      </w:r>
      <w:r w:rsidR="009A4675">
        <w:rPr>
          <w:b/>
        </w:rPr>
        <w:t>DOT</w:t>
      </w:r>
      <w:r w:rsidR="00C109D0" w:rsidRPr="00364FAD">
        <w:rPr>
          <w:b/>
        </w:rPr>
        <w:t xml:space="preserve"> Rolling Stock </w:t>
      </w:r>
      <w:r w:rsidR="00D11F37">
        <w:rPr>
          <w:b/>
        </w:rPr>
        <w:t xml:space="preserve">and Non-Revenue Vehicle </w:t>
      </w:r>
      <w:r w:rsidR="001B2B02">
        <w:rPr>
          <w:b/>
        </w:rPr>
        <w:t>Information</w:t>
      </w:r>
      <w:r w:rsidR="00C109D0" w:rsidRPr="00364FAD">
        <w:rPr>
          <w:b/>
        </w:rPr>
        <w:t xml:space="preserve"> </w:t>
      </w:r>
      <w:r w:rsidR="00C109D0" w:rsidRPr="00D11F37">
        <w:rPr>
          <w:b/>
        </w:rPr>
        <w:t>Request Form</w:t>
      </w:r>
      <w:bookmarkEnd w:id="11"/>
      <w:r w:rsidR="000602A8" w:rsidRPr="00D11F37">
        <w:rPr>
          <w:b/>
        </w:rPr>
        <w:t xml:space="preserve"> </w:t>
      </w:r>
      <w:r w:rsidR="00EE1001">
        <w:rPr>
          <w:b/>
        </w:rPr>
        <w:t>(PTMS)</w:t>
      </w:r>
    </w:p>
    <w:p w14:paraId="42B062B0" w14:textId="77777777" w:rsidR="007B29E1" w:rsidRPr="00364FAD" w:rsidRDefault="007B29E1" w:rsidP="00A57488">
      <w:pPr>
        <w:rPr>
          <w:b/>
        </w:rPr>
      </w:pPr>
    </w:p>
    <w:p w14:paraId="7A7B1EDA" w14:textId="77777777" w:rsidR="00845DD7" w:rsidRDefault="00E150BA" w:rsidP="00845DD7">
      <w:r w:rsidRPr="00E150BA">
        <w:rPr>
          <w:noProof/>
        </w:rPr>
        <w:drawing>
          <wp:inline distT="0" distB="0" distL="0" distR="0" wp14:anchorId="0127BC24" wp14:editId="3BA25F37">
            <wp:extent cx="6334125" cy="2521585"/>
            <wp:effectExtent l="0" t="0" r="9525" b="0"/>
            <wp:docPr id="9" name="Picture 9" descr="Table 4 MaineDOT Rolling Stock and Non-Revenue Vehicle Information Request Form (PT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4 MaineDOT Rolling Stock and Non-Revenue Vehicle Information Request Form (PTM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4450" cy="2553562"/>
                    </a:xfrm>
                    <a:prstGeom prst="rect">
                      <a:avLst/>
                    </a:prstGeom>
                    <a:noFill/>
                    <a:ln>
                      <a:noFill/>
                    </a:ln>
                  </pic:spPr>
                </pic:pic>
              </a:graphicData>
            </a:graphic>
          </wp:inline>
        </w:drawing>
      </w:r>
    </w:p>
    <w:p w14:paraId="315C2508" w14:textId="1184E094" w:rsidR="00C7355C" w:rsidRDefault="00C7355C" w:rsidP="00845DD7"/>
    <w:p w14:paraId="66A615C6" w14:textId="77777777" w:rsidR="0096285E" w:rsidRDefault="0096285E">
      <w:pPr>
        <w:spacing w:after="200" w:line="276" w:lineRule="auto"/>
        <w:ind w:left="0"/>
        <w:rPr>
          <w:b/>
        </w:rPr>
      </w:pPr>
      <w:r>
        <w:rPr>
          <w:b/>
        </w:rPr>
        <w:br w:type="page"/>
      </w:r>
    </w:p>
    <w:p w14:paraId="31A84D02" w14:textId="66A86E8D" w:rsidR="00C7355C" w:rsidRDefault="00C7355C" w:rsidP="00845DD7">
      <w:pPr>
        <w:rPr>
          <w:b/>
        </w:rPr>
      </w:pPr>
      <w:r w:rsidRPr="00C7355C">
        <w:rPr>
          <w:b/>
        </w:rPr>
        <w:lastRenderedPageBreak/>
        <w:t xml:space="preserve">Table </w:t>
      </w:r>
      <w:r w:rsidR="00A20AB5">
        <w:rPr>
          <w:b/>
        </w:rPr>
        <w:t>5</w:t>
      </w:r>
      <w:r w:rsidR="00A20AB5" w:rsidRPr="00C7355C">
        <w:rPr>
          <w:b/>
        </w:rPr>
        <w:t xml:space="preserve"> </w:t>
      </w:r>
      <w:r w:rsidRPr="00C7355C">
        <w:rPr>
          <w:b/>
        </w:rPr>
        <w:t xml:space="preserve">MaineDOT Facility </w:t>
      </w:r>
      <w:r w:rsidR="001B2B02">
        <w:rPr>
          <w:b/>
        </w:rPr>
        <w:t xml:space="preserve">Information </w:t>
      </w:r>
      <w:r w:rsidRPr="00C7355C">
        <w:rPr>
          <w:b/>
        </w:rPr>
        <w:t>Request Form</w:t>
      </w:r>
    </w:p>
    <w:p w14:paraId="7B056A00" w14:textId="69BACACE" w:rsidR="007B29E1" w:rsidRDefault="007B29E1" w:rsidP="00845DD7">
      <w:pPr>
        <w:rPr>
          <w:b/>
        </w:rPr>
      </w:pPr>
    </w:p>
    <w:p w14:paraId="3E03337A" w14:textId="32E5F472" w:rsidR="00517336" w:rsidRPr="00C7355C" w:rsidRDefault="00517336" w:rsidP="00845DD7">
      <w:pPr>
        <w:rPr>
          <w:b/>
        </w:rPr>
      </w:pPr>
      <w:r w:rsidRPr="00517336">
        <w:rPr>
          <w:noProof/>
        </w:rPr>
        <w:drawing>
          <wp:inline distT="0" distB="0" distL="0" distR="0" wp14:anchorId="208C6B17" wp14:editId="713F9394">
            <wp:extent cx="6381750" cy="1032510"/>
            <wp:effectExtent l="0" t="0" r="0" b="0"/>
            <wp:docPr id="273" name="Picture 273" descr="Table 5 MaineDOT Facility Information Reques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Table 5 MaineDOT Facility Information Request Fo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8688" cy="1056283"/>
                    </a:xfrm>
                    <a:prstGeom prst="rect">
                      <a:avLst/>
                    </a:prstGeom>
                    <a:noFill/>
                    <a:ln>
                      <a:noFill/>
                    </a:ln>
                  </pic:spPr>
                </pic:pic>
              </a:graphicData>
            </a:graphic>
          </wp:inline>
        </w:drawing>
      </w:r>
    </w:p>
    <w:p w14:paraId="1E7DC1BC" w14:textId="35811039" w:rsidR="00C7355C" w:rsidRDefault="00C7355C" w:rsidP="00845DD7"/>
    <w:p w14:paraId="07FCA5E7" w14:textId="77777777" w:rsidR="007B29E1" w:rsidRDefault="007B29E1" w:rsidP="00CC09AD">
      <w:pPr>
        <w:ind w:left="0"/>
        <w:rPr>
          <w:b/>
        </w:rPr>
      </w:pPr>
    </w:p>
    <w:p w14:paraId="69DE607C" w14:textId="02753C7A" w:rsidR="00791F80" w:rsidRDefault="00791F80" w:rsidP="00845DD7">
      <w:pPr>
        <w:rPr>
          <w:b/>
        </w:rPr>
      </w:pPr>
      <w:r w:rsidRPr="00791F80">
        <w:rPr>
          <w:b/>
        </w:rPr>
        <w:t xml:space="preserve">Table </w:t>
      </w:r>
      <w:r w:rsidR="00A20AB5">
        <w:rPr>
          <w:b/>
        </w:rPr>
        <w:t xml:space="preserve">6 </w:t>
      </w:r>
      <w:r w:rsidRPr="00791F80">
        <w:rPr>
          <w:b/>
        </w:rPr>
        <w:t>MaineDOT Ferry Vessel Information Request Form</w:t>
      </w:r>
    </w:p>
    <w:p w14:paraId="669DD894" w14:textId="17CB8282" w:rsidR="007B29E1" w:rsidRDefault="007B29E1" w:rsidP="00845DD7">
      <w:pPr>
        <w:rPr>
          <w:b/>
        </w:rPr>
      </w:pPr>
    </w:p>
    <w:p w14:paraId="755A64CE" w14:textId="55EC7753" w:rsidR="00AB7C33" w:rsidRDefault="00AB7C33" w:rsidP="00845DD7">
      <w:pPr>
        <w:rPr>
          <w:b/>
        </w:rPr>
      </w:pPr>
      <w:r w:rsidRPr="00AB7C33">
        <w:rPr>
          <w:noProof/>
        </w:rPr>
        <w:drawing>
          <wp:inline distT="0" distB="0" distL="0" distR="0" wp14:anchorId="48E4EBA8" wp14:editId="03C5D730">
            <wp:extent cx="6448425" cy="1271905"/>
            <wp:effectExtent l="0" t="0" r="9525" b="4445"/>
            <wp:docPr id="275" name="Picture 275" descr="Table 6 MaineDOT Ferry Vessel Information Reques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descr="Table 6 MaineDOT Ferry Vessel Information Request For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2927" cy="1286600"/>
                    </a:xfrm>
                    <a:prstGeom prst="rect">
                      <a:avLst/>
                    </a:prstGeom>
                    <a:noFill/>
                    <a:ln>
                      <a:noFill/>
                    </a:ln>
                  </pic:spPr>
                </pic:pic>
              </a:graphicData>
            </a:graphic>
          </wp:inline>
        </w:drawing>
      </w:r>
    </w:p>
    <w:p w14:paraId="25301B42" w14:textId="77777777" w:rsidR="00AB7C33" w:rsidRDefault="00AB7C33" w:rsidP="00845DD7">
      <w:pPr>
        <w:rPr>
          <w:b/>
        </w:rPr>
      </w:pPr>
    </w:p>
    <w:p w14:paraId="3393CCC1" w14:textId="1533D562" w:rsidR="005A2B64" w:rsidRDefault="00837124" w:rsidP="00845DD7">
      <w:pPr>
        <w:pStyle w:val="Heading2"/>
        <w:ind w:left="0" w:firstLine="270"/>
      </w:pPr>
      <w:bookmarkStart w:id="12" w:name="_Toc527365844"/>
      <w:r>
        <w:t>C</w:t>
      </w:r>
      <w:r w:rsidR="001C02D2">
        <w:t>ondition Assessments</w:t>
      </w:r>
      <w:bookmarkEnd w:id="12"/>
    </w:p>
    <w:p w14:paraId="799169DC" w14:textId="21698E8C" w:rsidR="005A2B64" w:rsidRDefault="005A2B64" w:rsidP="007C4FD5">
      <w:pPr>
        <w:spacing w:line="240" w:lineRule="auto"/>
        <w:rPr>
          <w:rFonts w:ascii="Calibri" w:eastAsia="Times New Roman" w:hAnsi="Calibri" w:cs="Calibri"/>
          <w:color w:val="000000"/>
        </w:rPr>
      </w:pPr>
    </w:p>
    <w:p w14:paraId="50A4DBB9" w14:textId="2816AC49" w:rsidR="009A03AC" w:rsidRPr="009A03AC" w:rsidRDefault="009A03AC" w:rsidP="007C4FD5">
      <w:pPr>
        <w:spacing w:line="240" w:lineRule="auto"/>
        <w:rPr>
          <w:rFonts w:eastAsia="Times New Roman" w:cs="Calibri"/>
          <w:b/>
          <w:color w:val="000000"/>
          <w:u w:val="single"/>
        </w:rPr>
      </w:pPr>
      <w:r w:rsidRPr="009A03AC">
        <w:rPr>
          <w:rFonts w:eastAsia="Times New Roman" w:cs="Calibri"/>
          <w:b/>
          <w:color w:val="000000"/>
          <w:u w:val="single"/>
        </w:rPr>
        <w:t>Land-Based Transit Systems</w:t>
      </w:r>
    </w:p>
    <w:p w14:paraId="244AE8F0" w14:textId="77777777" w:rsidR="009A03AC" w:rsidRDefault="009A03AC" w:rsidP="007C4FD5">
      <w:pPr>
        <w:spacing w:line="240" w:lineRule="auto"/>
        <w:rPr>
          <w:rFonts w:ascii="Calibri" w:eastAsia="Times New Roman" w:hAnsi="Calibri" w:cs="Calibri"/>
          <w:color w:val="000000"/>
        </w:rPr>
      </w:pPr>
    </w:p>
    <w:p w14:paraId="0C700747" w14:textId="3BD6EA18" w:rsidR="00CF6AE2" w:rsidRDefault="00CF6AE2" w:rsidP="005A61E4">
      <w:pPr>
        <w:pStyle w:val="Heading3"/>
      </w:pPr>
      <w:bookmarkStart w:id="13" w:name="_Toc502858429"/>
      <w:bookmarkStart w:id="14" w:name="_Toc526163113"/>
      <w:bookmarkStart w:id="15" w:name="_Toc527365845"/>
      <w:r>
        <w:t>Rolling Stock</w:t>
      </w:r>
      <w:r w:rsidR="005322DA">
        <w:t xml:space="preserve"> and Equipment</w:t>
      </w:r>
      <w:bookmarkEnd w:id="13"/>
      <w:bookmarkEnd w:id="14"/>
      <w:bookmarkEnd w:id="15"/>
    </w:p>
    <w:p w14:paraId="1324BC0B" w14:textId="0595C3E2" w:rsidR="000C50C4" w:rsidRDefault="000C50C4" w:rsidP="000C50C4">
      <w:pPr>
        <w:pStyle w:val="BodyText"/>
        <w:spacing w:before="101" w:line="264" w:lineRule="auto"/>
        <w:ind w:left="270" w:right="566"/>
      </w:pPr>
      <w:r>
        <w:t>Rolling stock assessments are based on the following premise in Table</w:t>
      </w:r>
      <w:r w:rsidR="007B29E1">
        <w:t xml:space="preserve"> 4</w:t>
      </w:r>
      <w:r>
        <w:t xml:space="preserve"> and are conducted by transit management or operations supervisors using a scale of 1 to 5. To conduct a proper vehicle assessment</w:t>
      </w:r>
      <w:r w:rsidR="004D0A15">
        <w:t>,</w:t>
      </w:r>
      <w:r>
        <w:t xml:space="preserve"> the inspector is required to not only assess the physical vehicle, but also review the maintenance file. The reviewer will identify preventive maintenance inspections as well as maintenance repairs classified as minor or major repairs. Major repairs include substantial work to engine, transmission</w:t>
      </w:r>
      <w:r w:rsidR="004D0A15">
        <w:t>,</w:t>
      </w:r>
      <w:r>
        <w:t xml:space="preserve"> and rear end</w:t>
      </w:r>
      <w:r w:rsidR="004D0A15">
        <w:t>.</w:t>
      </w:r>
      <w:r>
        <w:t xml:space="preserve"> Minor repairs might include brakes, alignment, minor lift repairs, and other lower cost repairs not associated with preventive maintenance.</w:t>
      </w:r>
    </w:p>
    <w:p w14:paraId="034EAE9E" w14:textId="77777777" w:rsidR="000C50C4" w:rsidRDefault="000C50C4" w:rsidP="000C50C4">
      <w:pPr>
        <w:pStyle w:val="BodyText"/>
        <w:spacing w:before="2"/>
        <w:ind w:left="270"/>
        <w:rPr>
          <w:sz w:val="24"/>
        </w:rPr>
      </w:pPr>
    </w:p>
    <w:p w14:paraId="7C8D94D9" w14:textId="7DC1E9D6" w:rsidR="000C50C4" w:rsidRDefault="000C50C4" w:rsidP="000C50C4">
      <w:pPr>
        <w:pStyle w:val="BodyText"/>
        <w:spacing w:before="1" w:line="264" w:lineRule="auto"/>
        <w:ind w:left="270" w:right="488"/>
      </w:pPr>
      <w:r>
        <w:t>Appearance is also taken into consideration when assessing the vehicle condition. As part of the Public Transportation Management System</w:t>
      </w:r>
      <w:r w:rsidR="004D0A15">
        <w:t xml:space="preserve"> </w:t>
      </w:r>
      <w:r>
        <w:t>(PTMS)</w:t>
      </w:r>
      <w:r w:rsidR="004D0A15">
        <w:t>,</w:t>
      </w:r>
      <w:r>
        <w:t xml:space="preserve"> exterior and interior condition is reported by providers annually. The appearance condition is converted into a score of 1-5 and averaged with the score derived from Table </w:t>
      </w:r>
      <w:r w:rsidR="00A20AB5">
        <w:t xml:space="preserve">7 </w:t>
      </w:r>
      <w:r>
        <w:t>to give an average condition assessment score.</w:t>
      </w:r>
    </w:p>
    <w:p w14:paraId="5E94448A" w14:textId="77777777" w:rsidR="000C50C4" w:rsidRDefault="000C50C4" w:rsidP="000C50C4">
      <w:pPr>
        <w:pStyle w:val="BodyText"/>
        <w:spacing w:before="2"/>
        <w:ind w:left="270"/>
        <w:rPr>
          <w:sz w:val="24"/>
        </w:rPr>
      </w:pPr>
    </w:p>
    <w:p w14:paraId="76BF7E5E" w14:textId="6F442F33" w:rsidR="00725055" w:rsidRDefault="000C50C4" w:rsidP="000C50C4">
      <w:pPr>
        <w:spacing w:line="240" w:lineRule="auto"/>
      </w:pPr>
      <w:r>
        <w:t>Equipment assessments are completed by the subrecipient using the same premise as the rolling stock assessment. This requires transit systems to maintain proper records of each piece of equipment used in the support of public transit service. Only equipment with an acquisition value greater than $50,000 must be included in TAM data. The exception is non-revenue service vehicles where value is not a factor. Examples of equipment include non-revenue vehicles, non-</w:t>
      </w:r>
      <w:r>
        <w:lastRenderedPageBreak/>
        <w:t>permanent facility equipment</w:t>
      </w:r>
      <w:r w:rsidR="004D0A15">
        <w:t>—moveable</w:t>
      </w:r>
      <w:r>
        <w:t xml:space="preserve"> bus wash system, portable lift systems, tire changing stations, digital bus arrival boards</w:t>
      </w:r>
      <w:r w:rsidR="004D0A15">
        <w:t>,</w:t>
      </w:r>
      <w:r>
        <w:t xml:space="preserve"> and other major equipment components not part of the facility.</w:t>
      </w:r>
    </w:p>
    <w:p w14:paraId="2EB612CD" w14:textId="77777777" w:rsidR="000C50C4" w:rsidRDefault="000C50C4" w:rsidP="000C50C4">
      <w:pPr>
        <w:spacing w:line="240" w:lineRule="auto"/>
        <w:rPr>
          <w:rFonts w:ascii="Calibri" w:eastAsia="Times New Roman" w:hAnsi="Calibri" w:cs="Calibri"/>
          <w:color w:val="000000"/>
        </w:rPr>
      </w:pPr>
    </w:p>
    <w:p w14:paraId="1B0B5703" w14:textId="63052015" w:rsidR="00CF6AE2" w:rsidRDefault="00725055" w:rsidP="00A57488">
      <w:pPr>
        <w:rPr>
          <w:b/>
        </w:rPr>
      </w:pPr>
      <w:r w:rsidRPr="001B1207">
        <w:rPr>
          <w:b/>
        </w:rPr>
        <w:t xml:space="preserve">Table </w:t>
      </w:r>
      <w:r w:rsidR="00A20AB5">
        <w:rPr>
          <w:b/>
        </w:rPr>
        <w:t xml:space="preserve">7 </w:t>
      </w:r>
      <w:r w:rsidR="00791F80">
        <w:rPr>
          <w:b/>
        </w:rPr>
        <w:t>Rolling Stock Condition Scale</w:t>
      </w:r>
    </w:p>
    <w:p w14:paraId="56ACC1A2" w14:textId="77777777" w:rsidR="00BB1208" w:rsidRPr="001B1207" w:rsidRDefault="00BB1208" w:rsidP="00A57488">
      <w:pPr>
        <w:rPr>
          <w:b/>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1B1207" w:rsidRPr="00725055" w14:paraId="2E1B923F" w14:textId="77777777" w:rsidTr="001B1207">
        <w:trPr>
          <w:trHeight w:val="300"/>
          <w:jc w:val="center"/>
        </w:trPr>
        <w:tc>
          <w:tcPr>
            <w:tcW w:w="8748" w:type="dxa"/>
            <w:shd w:val="clear" w:color="auto" w:fill="auto"/>
            <w:noWrap/>
            <w:vAlign w:val="bottom"/>
            <w:hideMark/>
          </w:tcPr>
          <w:p w14:paraId="09B634FD" w14:textId="572539FA" w:rsidR="001B1207" w:rsidRPr="001B1207" w:rsidRDefault="001B1207" w:rsidP="001B1207">
            <w:pPr>
              <w:spacing w:line="240" w:lineRule="auto"/>
              <w:jc w:val="center"/>
              <w:rPr>
                <w:rFonts w:eastAsia="Times New Roman" w:cs="Calibri"/>
                <w:b/>
                <w:color w:val="000000"/>
              </w:rPr>
            </w:pPr>
            <w:r w:rsidRPr="001B1207">
              <w:rPr>
                <w:rFonts w:eastAsia="Times New Roman" w:cs="Calibri"/>
                <w:b/>
                <w:color w:val="000000"/>
              </w:rPr>
              <w:t>Rolling Stock Condition Ranking</w:t>
            </w:r>
          </w:p>
        </w:tc>
      </w:tr>
      <w:tr w:rsidR="001B1207" w:rsidRPr="00725055" w14:paraId="6877984E" w14:textId="77777777" w:rsidTr="001B1207">
        <w:trPr>
          <w:trHeight w:val="300"/>
          <w:jc w:val="center"/>
        </w:trPr>
        <w:tc>
          <w:tcPr>
            <w:tcW w:w="8748" w:type="dxa"/>
            <w:shd w:val="clear" w:color="auto" w:fill="auto"/>
            <w:noWrap/>
            <w:vAlign w:val="bottom"/>
            <w:hideMark/>
          </w:tcPr>
          <w:p w14:paraId="3BB34C01" w14:textId="0A2CA179" w:rsidR="001B1207" w:rsidRPr="001B1207" w:rsidRDefault="001B1207" w:rsidP="001B1207">
            <w:pPr>
              <w:spacing w:line="240" w:lineRule="auto"/>
              <w:ind w:left="0"/>
              <w:rPr>
                <w:rFonts w:eastAsia="Times New Roman" w:cs="Calibri"/>
                <w:color w:val="000000"/>
              </w:rPr>
            </w:pPr>
            <w:r w:rsidRPr="001B1207">
              <w:rPr>
                <w:rFonts w:eastAsia="Times New Roman" w:cs="Calibri"/>
                <w:color w:val="FF0000"/>
              </w:rPr>
              <w:t>5 - Excellent</w:t>
            </w:r>
            <w:r w:rsidRPr="001B1207">
              <w:rPr>
                <w:rFonts w:eastAsia="Times New Roman" w:cs="Calibri"/>
                <w:color w:val="000000"/>
              </w:rPr>
              <w:t xml:space="preserve"> - brand new - no major problems exist - only routine maintenance </w:t>
            </w:r>
          </w:p>
        </w:tc>
      </w:tr>
      <w:tr w:rsidR="00725055" w:rsidRPr="00725055" w14:paraId="528F1363" w14:textId="77777777" w:rsidTr="001B1207">
        <w:trPr>
          <w:trHeight w:val="578"/>
          <w:jc w:val="center"/>
        </w:trPr>
        <w:tc>
          <w:tcPr>
            <w:tcW w:w="8748" w:type="dxa"/>
            <w:shd w:val="clear" w:color="auto" w:fill="auto"/>
            <w:vAlign w:val="bottom"/>
            <w:hideMark/>
          </w:tcPr>
          <w:p w14:paraId="4F1ACF49" w14:textId="77777777" w:rsidR="00725055" w:rsidRPr="001B1207" w:rsidRDefault="00725055" w:rsidP="001B1207">
            <w:pPr>
              <w:spacing w:line="240" w:lineRule="auto"/>
              <w:ind w:left="0"/>
              <w:rPr>
                <w:rFonts w:eastAsia="Times New Roman" w:cs="Calibri"/>
                <w:color w:val="000000"/>
              </w:rPr>
            </w:pPr>
            <w:r w:rsidRPr="001B1207">
              <w:rPr>
                <w:rFonts w:eastAsia="Times New Roman" w:cs="Calibri"/>
                <w:color w:val="FF0000"/>
              </w:rPr>
              <w:t>4 - Good</w:t>
            </w:r>
            <w:r w:rsidRPr="001B1207">
              <w:rPr>
                <w:rFonts w:eastAsia="Times New Roman" w:cs="Calibri"/>
                <w:color w:val="000000"/>
              </w:rPr>
              <w:t xml:space="preserve"> - elements are in good working order - requiring only nominal or infrequent minor repairs (greater than six months between repairs) </w:t>
            </w:r>
          </w:p>
        </w:tc>
      </w:tr>
      <w:tr w:rsidR="00725055" w:rsidRPr="00725055" w14:paraId="31A801F7" w14:textId="77777777" w:rsidTr="001B1207">
        <w:trPr>
          <w:trHeight w:val="578"/>
          <w:jc w:val="center"/>
        </w:trPr>
        <w:tc>
          <w:tcPr>
            <w:tcW w:w="8748" w:type="dxa"/>
            <w:shd w:val="clear" w:color="auto" w:fill="auto"/>
            <w:vAlign w:val="bottom"/>
            <w:hideMark/>
          </w:tcPr>
          <w:p w14:paraId="55E79E12" w14:textId="77777777" w:rsidR="00725055" w:rsidRPr="001B1207" w:rsidRDefault="00725055" w:rsidP="001B1207">
            <w:pPr>
              <w:spacing w:line="240" w:lineRule="auto"/>
              <w:ind w:left="0"/>
              <w:rPr>
                <w:rFonts w:eastAsia="Times New Roman" w:cs="Calibri"/>
                <w:color w:val="000000"/>
              </w:rPr>
            </w:pPr>
            <w:r w:rsidRPr="001B1207">
              <w:rPr>
                <w:rFonts w:eastAsia="Times New Roman" w:cs="Calibri"/>
                <w:color w:val="FF0000"/>
              </w:rPr>
              <w:t>3- Fair</w:t>
            </w:r>
            <w:r w:rsidRPr="001B1207">
              <w:rPr>
                <w:rFonts w:eastAsia="Times New Roman" w:cs="Calibri"/>
                <w:color w:val="000000"/>
              </w:rPr>
              <w:t xml:space="preserve"> - requires frequent minor repairs (less than six months between repairs) or frequent major repairs (more than six months between major repairs) </w:t>
            </w:r>
          </w:p>
        </w:tc>
      </w:tr>
      <w:tr w:rsidR="00725055" w:rsidRPr="00725055" w14:paraId="2538814B" w14:textId="77777777" w:rsidTr="001B1207">
        <w:trPr>
          <w:trHeight w:val="300"/>
          <w:jc w:val="center"/>
        </w:trPr>
        <w:tc>
          <w:tcPr>
            <w:tcW w:w="8748" w:type="dxa"/>
            <w:shd w:val="clear" w:color="auto" w:fill="auto"/>
            <w:noWrap/>
            <w:vAlign w:val="bottom"/>
            <w:hideMark/>
          </w:tcPr>
          <w:p w14:paraId="15602A03" w14:textId="4AA8F8FC" w:rsidR="00725055" w:rsidRPr="001B1207" w:rsidRDefault="00725055" w:rsidP="001B1207">
            <w:pPr>
              <w:spacing w:line="240" w:lineRule="auto"/>
              <w:ind w:left="0"/>
              <w:rPr>
                <w:rFonts w:eastAsia="Times New Roman" w:cs="Calibri"/>
                <w:color w:val="000000"/>
              </w:rPr>
            </w:pPr>
            <w:r w:rsidRPr="001B1207">
              <w:rPr>
                <w:rFonts w:eastAsia="Times New Roman" w:cs="Calibri"/>
                <w:color w:val="FF0000"/>
              </w:rPr>
              <w:t xml:space="preserve">2- </w:t>
            </w:r>
            <w:r w:rsidR="00B22341">
              <w:rPr>
                <w:rFonts w:eastAsia="Times New Roman" w:cs="Calibri"/>
                <w:color w:val="FF0000"/>
              </w:rPr>
              <w:t>Poor</w:t>
            </w:r>
            <w:r w:rsidRPr="001B1207">
              <w:rPr>
                <w:rFonts w:eastAsia="Times New Roman" w:cs="Calibri"/>
                <w:color w:val="FF0000"/>
              </w:rPr>
              <w:t xml:space="preserve"> </w:t>
            </w:r>
            <w:r w:rsidRPr="001B1207">
              <w:rPr>
                <w:rFonts w:eastAsia="Times New Roman" w:cs="Calibri"/>
                <w:color w:val="000000"/>
              </w:rPr>
              <w:t>- requires frequent major repairs (less than 6 months between major repairs)</w:t>
            </w:r>
          </w:p>
        </w:tc>
      </w:tr>
      <w:tr w:rsidR="001B1207" w:rsidRPr="00725055" w14:paraId="5DDAF158" w14:textId="77777777" w:rsidTr="001B1207">
        <w:trPr>
          <w:trHeight w:val="315"/>
          <w:jc w:val="center"/>
        </w:trPr>
        <w:tc>
          <w:tcPr>
            <w:tcW w:w="8748" w:type="dxa"/>
            <w:shd w:val="clear" w:color="auto" w:fill="auto"/>
            <w:noWrap/>
            <w:vAlign w:val="bottom"/>
            <w:hideMark/>
          </w:tcPr>
          <w:p w14:paraId="344533A4" w14:textId="2D697BDB" w:rsidR="001B1207" w:rsidRPr="001B1207" w:rsidRDefault="001B1207" w:rsidP="001B1207">
            <w:pPr>
              <w:spacing w:line="240" w:lineRule="auto"/>
              <w:ind w:left="0"/>
              <w:rPr>
                <w:rFonts w:eastAsia="Times New Roman" w:cs="Calibri"/>
                <w:color w:val="000000"/>
              </w:rPr>
            </w:pPr>
            <w:r w:rsidRPr="001B1207">
              <w:rPr>
                <w:rFonts w:eastAsia="Times New Roman" w:cs="Calibri"/>
                <w:color w:val="FF0000"/>
              </w:rPr>
              <w:t>1 - Bad</w:t>
            </w:r>
            <w:r w:rsidRPr="001B1207">
              <w:rPr>
                <w:rFonts w:eastAsia="Times New Roman" w:cs="Calibri"/>
                <w:color w:val="000000"/>
              </w:rPr>
              <w:t xml:space="preserve"> - in poor condition that continued use presents potential problems </w:t>
            </w:r>
          </w:p>
        </w:tc>
      </w:tr>
    </w:tbl>
    <w:p w14:paraId="14B7C159" w14:textId="68813C03" w:rsidR="00CF6AE2" w:rsidRDefault="00CF6AE2" w:rsidP="007C4FD5">
      <w:pPr>
        <w:spacing w:line="240" w:lineRule="auto"/>
        <w:rPr>
          <w:rFonts w:ascii="Calibri" w:eastAsia="Times New Roman" w:hAnsi="Calibri" w:cs="Calibri"/>
          <w:color w:val="000000"/>
        </w:rPr>
      </w:pPr>
    </w:p>
    <w:p w14:paraId="6B2D759D" w14:textId="76DA791C" w:rsidR="00CF6AE2" w:rsidRDefault="00CF6AE2" w:rsidP="005A61E4">
      <w:pPr>
        <w:pStyle w:val="Heading3"/>
      </w:pPr>
      <w:bookmarkStart w:id="16" w:name="_Toc502858430"/>
      <w:bookmarkStart w:id="17" w:name="_Toc526163114"/>
      <w:bookmarkStart w:id="18" w:name="_Toc527365846"/>
      <w:r>
        <w:t>Facilities</w:t>
      </w:r>
      <w:bookmarkEnd w:id="16"/>
      <w:bookmarkEnd w:id="17"/>
      <w:bookmarkEnd w:id="18"/>
    </w:p>
    <w:p w14:paraId="24EB8D04" w14:textId="5701BC52" w:rsidR="000C50C4" w:rsidRDefault="000C50C4" w:rsidP="000C50C4">
      <w:pPr>
        <w:pStyle w:val="BodyText"/>
        <w:spacing w:before="79" w:line="264" w:lineRule="auto"/>
        <w:ind w:left="270" w:right="414"/>
      </w:pPr>
      <w:r>
        <w:t>As mentioned in the beginning of this section, all facility assessments are conducted by MaineDOT staff, its subrecipients or its sub-contractors</w:t>
      </w:r>
      <w:r w:rsidR="004D0A15">
        <w:t>,</w:t>
      </w:r>
      <w:r>
        <w:t xml:space="preserve"> using a modified Transit Economic Recovery Model (TERM) assessment form developed by MaineDOT. The form includes 10 areas of concentration with sub-sections for each area. Sub-sections are rated separately (e.g. a roof may need replacement but the rest of a building is sound) and then averaged to produce a composite score for the entire facility. The r</w:t>
      </w:r>
      <w:r w:rsidR="00A12714">
        <w:t>ating system</w:t>
      </w:r>
      <w:r>
        <w:t xml:space="preserve"> uses a 1-5 rating scale as required by FTA. Facility assessments will be </w:t>
      </w:r>
      <w:r w:rsidRPr="00DF4579">
        <w:t>conducted every other year</w:t>
      </w:r>
      <w:r>
        <w:t xml:space="preserve"> unless MaineDOT has reason to conduct the assessments more often. Specialized ferry support facilities such as transfer bridges, piers and docks have their own assessment forms. The assessment tool</w:t>
      </w:r>
      <w:r w:rsidR="007716FB">
        <w:t>s</w:t>
      </w:r>
      <w:r>
        <w:t xml:space="preserve"> </w:t>
      </w:r>
      <w:r w:rsidR="007716FB">
        <w:t>are</w:t>
      </w:r>
      <w:r>
        <w:t xml:space="preserve"> shown in Table </w:t>
      </w:r>
      <w:r w:rsidR="00493F14">
        <w:t xml:space="preserve">9 </w:t>
      </w:r>
      <w:r w:rsidR="007716FB">
        <w:t xml:space="preserve">and </w:t>
      </w:r>
      <w:r w:rsidR="00493F14">
        <w:t>10</w:t>
      </w:r>
      <w:r>
        <w:t>.</w:t>
      </w:r>
    </w:p>
    <w:p w14:paraId="7B8D9F8D" w14:textId="77777777" w:rsidR="000C50C4" w:rsidRDefault="000C50C4" w:rsidP="000C50C4">
      <w:pPr>
        <w:pStyle w:val="BodyText"/>
        <w:spacing w:before="2"/>
        <w:ind w:left="270"/>
        <w:rPr>
          <w:sz w:val="24"/>
        </w:rPr>
      </w:pPr>
    </w:p>
    <w:p w14:paraId="2D62F1F6" w14:textId="2C1EAD40" w:rsidR="00683F37" w:rsidRDefault="000C50C4" w:rsidP="007E6F80">
      <w:pPr>
        <w:pStyle w:val="BodyText"/>
        <w:spacing w:line="264" w:lineRule="auto"/>
        <w:ind w:left="270" w:right="485"/>
      </w:pPr>
      <w:r>
        <w:t xml:space="preserve">All facility assessments will be documented and entered in a data table to also include useful life data on each facility. Currently, MaineDOT </w:t>
      </w:r>
      <w:r w:rsidR="004D0A15">
        <w:t>uses</w:t>
      </w:r>
      <w:r>
        <w:t xml:space="preserve"> the </w:t>
      </w:r>
      <w:r w:rsidRPr="000B7692">
        <w:t>standard 40-year useful life</w:t>
      </w:r>
      <w:r>
        <w:t xml:space="preserve"> for its facilities. Subrecipients are required to report data for facilities where they have capital responsibility. Facility types include any building or structure used in providing public transportation, including passenger stations, operations, maintenance, ferry amenities</w:t>
      </w:r>
      <w:r w:rsidRPr="007E6F80">
        <w:t xml:space="preserve"> (such as parking lots, piers, docks, transfer bridges and hoists) and administrative facilities.</w:t>
      </w:r>
    </w:p>
    <w:p w14:paraId="6AB16527" w14:textId="77777777" w:rsidR="005A61E4" w:rsidRDefault="005A61E4" w:rsidP="00725055"/>
    <w:p w14:paraId="0BA7C792" w14:textId="77777777" w:rsidR="0096285E" w:rsidRDefault="0096285E">
      <w:pPr>
        <w:spacing w:after="200" w:line="276" w:lineRule="auto"/>
        <w:ind w:left="0"/>
      </w:pPr>
      <w:r>
        <w:br w:type="page"/>
      </w:r>
    </w:p>
    <w:p w14:paraId="289CBB92" w14:textId="3C00F445" w:rsidR="00683F37" w:rsidRDefault="00683F37" w:rsidP="00725055">
      <w:r>
        <w:lastRenderedPageBreak/>
        <w:t xml:space="preserve">Capital responsibility is defined as the following: </w:t>
      </w:r>
    </w:p>
    <w:p w14:paraId="32827238" w14:textId="77777777" w:rsidR="005A61E4" w:rsidRDefault="005A61E4" w:rsidP="00725055"/>
    <w:tbl>
      <w:tblPr>
        <w:tblW w:w="8682" w:type="dxa"/>
        <w:jc w:val="center"/>
        <w:tblLook w:val="04A0" w:firstRow="1" w:lastRow="0" w:firstColumn="1" w:lastColumn="0" w:noHBand="0" w:noVBand="1"/>
      </w:tblPr>
      <w:tblGrid>
        <w:gridCol w:w="4341"/>
        <w:gridCol w:w="4341"/>
      </w:tblGrid>
      <w:tr w:rsidR="005322DA" w:rsidRPr="005322DA" w14:paraId="0F98D414" w14:textId="77777777" w:rsidTr="00FC6753">
        <w:trPr>
          <w:trHeight w:val="494"/>
          <w:jc w:val="center"/>
        </w:trPr>
        <w:tc>
          <w:tcPr>
            <w:tcW w:w="4341" w:type="dxa"/>
            <w:tcBorders>
              <w:top w:val="single" w:sz="4" w:space="0" w:color="000000"/>
              <w:left w:val="single" w:sz="4" w:space="0" w:color="000000"/>
              <w:bottom w:val="nil"/>
              <w:right w:val="single" w:sz="4" w:space="0" w:color="000000"/>
            </w:tcBorders>
            <w:shd w:val="clear" w:color="000000" w:fill="194178"/>
            <w:vAlign w:val="center"/>
            <w:hideMark/>
          </w:tcPr>
          <w:p w14:paraId="68EBEE30" w14:textId="15E44AF2" w:rsidR="005322DA" w:rsidRPr="00A12714" w:rsidRDefault="00E242BE" w:rsidP="00A12714">
            <w:pPr>
              <w:spacing w:line="240" w:lineRule="auto"/>
              <w:ind w:left="0"/>
              <w:rPr>
                <w:rFonts w:ascii="Calibri" w:eastAsia="Times New Roman" w:hAnsi="Calibri" w:cs="Calibri"/>
                <w:b/>
                <w:bCs/>
                <w:color w:val="FFFFFF"/>
                <w:sz w:val="20"/>
                <w:szCs w:val="20"/>
              </w:rPr>
            </w:pPr>
            <w:r>
              <w:rPr>
                <w:rFonts w:ascii="Calibri" w:eastAsia="Times New Roman" w:hAnsi="Calibri" w:cs="Calibri"/>
                <w:b/>
                <w:bCs/>
                <w:color w:val="FFFFFF"/>
                <w:sz w:val="20"/>
                <w:szCs w:val="20"/>
              </w:rPr>
              <w:t>D</w:t>
            </w:r>
            <w:r w:rsidR="00A12714">
              <w:rPr>
                <w:rFonts w:ascii="Calibri" w:eastAsia="Times New Roman" w:hAnsi="Calibri" w:cs="Calibri"/>
                <w:b/>
                <w:bCs/>
                <w:color w:val="FFFFFF"/>
                <w:sz w:val="20"/>
                <w:szCs w:val="20"/>
              </w:rPr>
              <w:t>irect capital r</w:t>
            </w:r>
            <w:r w:rsidR="005322DA" w:rsidRPr="00A12714">
              <w:rPr>
                <w:rFonts w:ascii="Calibri" w:eastAsia="Times New Roman" w:hAnsi="Calibri" w:cs="Calibri"/>
                <w:b/>
                <w:bCs/>
                <w:color w:val="FFFFFF"/>
                <w:sz w:val="20"/>
                <w:szCs w:val="20"/>
              </w:rPr>
              <w:t>esponsibility</w:t>
            </w:r>
          </w:p>
        </w:tc>
        <w:tc>
          <w:tcPr>
            <w:tcW w:w="4341" w:type="dxa"/>
            <w:tcBorders>
              <w:top w:val="single" w:sz="4" w:space="0" w:color="000000"/>
              <w:left w:val="dotted" w:sz="4" w:space="0" w:color="FFFFFF"/>
              <w:bottom w:val="nil"/>
              <w:right w:val="single" w:sz="4" w:space="0" w:color="000000"/>
            </w:tcBorders>
            <w:shd w:val="clear" w:color="000000" w:fill="194178"/>
            <w:vAlign w:val="center"/>
            <w:hideMark/>
          </w:tcPr>
          <w:p w14:paraId="3E1D92E3" w14:textId="349A9DBF" w:rsidR="005322DA" w:rsidRPr="00A12714" w:rsidRDefault="00E242BE" w:rsidP="00A12714">
            <w:pPr>
              <w:spacing w:line="240" w:lineRule="auto"/>
              <w:ind w:left="0"/>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No </w:t>
            </w:r>
            <w:r w:rsidR="005322DA" w:rsidRPr="00A12714">
              <w:rPr>
                <w:rFonts w:ascii="Calibri" w:eastAsia="Times New Roman" w:hAnsi="Calibri" w:cs="Calibri"/>
                <w:b/>
                <w:bCs/>
                <w:color w:val="FFFFFF"/>
                <w:sz w:val="20"/>
                <w:szCs w:val="20"/>
              </w:rPr>
              <w:t>direct capital responsibility</w:t>
            </w:r>
          </w:p>
        </w:tc>
      </w:tr>
      <w:tr w:rsidR="005322DA" w:rsidRPr="005322DA" w14:paraId="3F741E74" w14:textId="77777777" w:rsidTr="00FC6753">
        <w:trPr>
          <w:trHeight w:val="1213"/>
          <w:jc w:val="center"/>
        </w:trPr>
        <w:tc>
          <w:tcPr>
            <w:tcW w:w="4341" w:type="dxa"/>
            <w:tcBorders>
              <w:top w:val="single" w:sz="8" w:space="0" w:color="DDDDDD"/>
              <w:left w:val="single" w:sz="4" w:space="0" w:color="000000"/>
              <w:bottom w:val="single" w:sz="4" w:space="0" w:color="000000"/>
              <w:right w:val="single" w:sz="4" w:space="0" w:color="000000"/>
            </w:tcBorders>
            <w:shd w:val="clear" w:color="000000" w:fill="FFFFFF"/>
            <w:hideMark/>
          </w:tcPr>
          <w:p w14:paraId="750CACEC" w14:textId="39EDAF0C" w:rsidR="005322DA" w:rsidRPr="005322DA" w:rsidRDefault="00646F65" w:rsidP="00A12714">
            <w:pPr>
              <w:spacing w:line="240" w:lineRule="auto"/>
              <w:ind w:left="0"/>
              <w:rPr>
                <w:rFonts w:ascii="Calibri" w:eastAsia="Times New Roman" w:hAnsi="Calibri" w:cs="Calibri"/>
                <w:color w:val="000000"/>
                <w:sz w:val="19"/>
                <w:szCs w:val="19"/>
              </w:rPr>
            </w:pPr>
            <w:r>
              <w:rPr>
                <w:rFonts w:ascii="Calibri" w:eastAsia="Times New Roman" w:hAnsi="Calibri" w:cs="Calibri"/>
                <w:color w:val="000000"/>
                <w:sz w:val="19"/>
                <w:szCs w:val="19"/>
              </w:rPr>
              <w:t>Plan member o</w:t>
            </w:r>
            <w:r w:rsidR="005322DA" w:rsidRPr="005322DA">
              <w:rPr>
                <w:rFonts w:ascii="Calibri" w:eastAsia="Times New Roman" w:hAnsi="Calibri" w:cs="Calibri"/>
                <w:color w:val="000000"/>
                <w:sz w:val="19"/>
                <w:szCs w:val="19"/>
              </w:rPr>
              <w:t>wn</w:t>
            </w:r>
            <w:r w:rsidR="00A12714">
              <w:rPr>
                <w:rFonts w:ascii="Calibri" w:eastAsia="Times New Roman" w:hAnsi="Calibri" w:cs="Calibri"/>
                <w:color w:val="000000"/>
                <w:sz w:val="19"/>
                <w:szCs w:val="19"/>
              </w:rPr>
              <w:t>s</w:t>
            </w:r>
            <w:r w:rsidR="005322DA" w:rsidRPr="005322DA">
              <w:rPr>
                <w:rFonts w:ascii="Calibri" w:eastAsia="Times New Roman" w:hAnsi="Calibri" w:cs="Calibri"/>
                <w:color w:val="000000"/>
                <w:sz w:val="19"/>
                <w:szCs w:val="19"/>
              </w:rPr>
              <w:t xml:space="preserve"> the asset</w:t>
            </w:r>
            <w:r w:rsidR="00A12714">
              <w:rPr>
                <w:rFonts w:ascii="Calibri" w:eastAsia="Times New Roman" w:hAnsi="Calibri" w:cs="Calibri"/>
                <w:color w:val="000000"/>
                <w:sz w:val="19"/>
                <w:szCs w:val="19"/>
              </w:rPr>
              <w:t>.</w:t>
            </w:r>
          </w:p>
        </w:tc>
        <w:tc>
          <w:tcPr>
            <w:tcW w:w="4341" w:type="dxa"/>
            <w:tcBorders>
              <w:top w:val="single" w:sz="8" w:space="0" w:color="DDDDDD"/>
              <w:left w:val="nil"/>
              <w:bottom w:val="single" w:sz="4" w:space="0" w:color="000000"/>
              <w:right w:val="single" w:sz="4" w:space="0" w:color="000000"/>
            </w:tcBorders>
            <w:shd w:val="clear" w:color="000000" w:fill="FFFFFF"/>
            <w:hideMark/>
          </w:tcPr>
          <w:p w14:paraId="0252D9A4" w14:textId="56EEFE0C" w:rsidR="005322DA" w:rsidRPr="005322DA" w:rsidRDefault="00646F65" w:rsidP="00A12714">
            <w:pPr>
              <w:spacing w:line="240" w:lineRule="auto"/>
              <w:ind w:left="0"/>
              <w:rPr>
                <w:rFonts w:ascii="Calibri" w:eastAsia="Times New Roman" w:hAnsi="Calibri" w:cs="Calibri"/>
                <w:color w:val="000000"/>
                <w:sz w:val="19"/>
                <w:szCs w:val="19"/>
              </w:rPr>
            </w:pPr>
            <w:r>
              <w:rPr>
                <w:rFonts w:ascii="Calibri" w:eastAsia="Times New Roman" w:hAnsi="Calibri" w:cs="Calibri"/>
                <w:color w:val="000000"/>
                <w:sz w:val="19"/>
                <w:szCs w:val="19"/>
              </w:rPr>
              <w:t>Plan member d</w:t>
            </w:r>
            <w:r w:rsidR="00E242BE">
              <w:rPr>
                <w:rFonts w:ascii="Calibri" w:eastAsia="Times New Roman" w:hAnsi="Calibri" w:cs="Calibri"/>
                <w:color w:val="000000"/>
                <w:sz w:val="19"/>
                <w:szCs w:val="19"/>
              </w:rPr>
              <w:t>oes</w:t>
            </w:r>
            <w:r w:rsidR="00A12714">
              <w:rPr>
                <w:rFonts w:ascii="Calibri" w:eastAsia="Times New Roman" w:hAnsi="Calibri" w:cs="Calibri"/>
                <w:color w:val="000000"/>
                <w:sz w:val="19"/>
                <w:szCs w:val="19"/>
              </w:rPr>
              <w:t xml:space="preserve"> not</w:t>
            </w:r>
            <w:r w:rsidR="00E242BE">
              <w:rPr>
                <w:rFonts w:ascii="Calibri" w:eastAsia="Times New Roman" w:hAnsi="Calibri" w:cs="Calibri"/>
                <w:color w:val="000000"/>
                <w:sz w:val="19"/>
                <w:szCs w:val="19"/>
              </w:rPr>
              <w:t xml:space="preserve"> own the asset AND</w:t>
            </w:r>
            <w:r w:rsidR="00A12714">
              <w:rPr>
                <w:rFonts w:ascii="Calibri" w:eastAsia="Times New Roman" w:hAnsi="Calibri" w:cs="Calibri"/>
                <w:color w:val="000000"/>
                <w:sz w:val="19"/>
                <w:szCs w:val="19"/>
              </w:rPr>
              <w:t xml:space="preserve"> </w:t>
            </w:r>
            <w:r w:rsidR="00E242BE">
              <w:rPr>
                <w:rFonts w:ascii="Calibri" w:eastAsia="Times New Roman" w:hAnsi="Calibri" w:cs="Calibri"/>
                <w:color w:val="000000"/>
                <w:sz w:val="19"/>
                <w:szCs w:val="19"/>
              </w:rPr>
              <w:t xml:space="preserve">is </w:t>
            </w:r>
            <w:r w:rsidR="005322DA" w:rsidRPr="005322DA">
              <w:rPr>
                <w:rFonts w:ascii="Calibri" w:eastAsia="Times New Roman" w:hAnsi="Calibri" w:cs="Calibri"/>
                <w:color w:val="000000"/>
                <w:sz w:val="19"/>
                <w:szCs w:val="19"/>
              </w:rPr>
              <w:t>not responsible for replacing, overhauling, refurbishing, or conducting major repairs on that asset, or the costs of those activities are not itemiz</w:t>
            </w:r>
            <w:r w:rsidR="00A12714">
              <w:rPr>
                <w:rFonts w:ascii="Calibri" w:eastAsia="Times New Roman" w:hAnsi="Calibri" w:cs="Calibri"/>
                <w:color w:val="000000"/>
                <w:sz w:val="19"/>
                <w:szCs w:val="19"/>
              </w:rPr>
              <w:t>ed as a capital line item in</w:t>
            </w:r>
            <w:r>
              <w:rPr>
                <w:rFonts w:ascii="Calibri" w:eastAsia="Times New Roman" w:hAnsi="Calibri" w:cs="Calibri"/>
                <w:color w:val="000000"/>
                <w:sz w:val="19"/>
                <w:szCs w:val="19"/>
              </w:rPr>
              <w:t xml:space="preserve"> member’s</w:t>
            </w:r>
            <w:r w:rsidR="00A12714">
              <w:rPr>
                <w:rFonts w:ascii="Calibri" w:eastAsia="Times New Roman" w:hAnsi="Calibri" w:cs="Calibri"/>
                <w:color w:val="000000"/>
                <w:sz w:val="19"/>
                <w:szCs w:val="19"/>
              </w:rPr>
              <w:t xml:space="preserve"> </w:t>
            </w:r>
            <w:r w:rsidR="005322DA" w:rsidRPr="005322DA">
              <w:rPr>
                <w:rFonts w:ascii="Calibri" w:eastAsia="Times New Roman" w:hAnsi="Calibri" w:cs="Calibri"/>
                <w:color w:val="000000"/>
                <w:sz w:val="19"/>
                <w:szCs w:val="19"/>
              </w:rPr>
              <w:t>budget.</w:t>
            </w:r>
          </w:p>
        </w:tc>
      </w:tr>
      <w:tr w:rsidR="005322DA" w:rsidRPr="005322DA" w14:paraId="7DE336A8" w14:textId="77777777" w:rsidTr="00FC6753">
        <w:trPr>
          <w:trHeight w:val="538"/>
          <w:jc w:val="center"/>
        </w:trPr>
        <w:tc>
          <w:tcPr>
            <w:tcW w:w="4341" w:type="dxa"/>
            <w:tcBorders>
              <w:top w:val="single" w:sz="8" w:space="0" w:color="DDDDDD"/>
              <w:left w:val="single" w:sz="4" w:space="0" w:color="000000"/>
              <w:bottom w:val="single" w:sz="4" w:space="0" w:color="000000"/>
              <w:right w:val="single" w:sz="4" w:space="0" w:color="000000"/>
            </w:tcBorders>
            <w:shd w:val="clear" w:color="000000" w:fill="FFFFFF"/>
            <w:hideMark/>
          </w:tcPr>
          <w:p w14:paraId="64C1129F" w14:textId="5044B040" w:rsidR="005322DA" w:rsidRPr="005322DA" w:rsidRDefault="00646F65" w:rsidP="00A12714">
            <w:pPr>
              <w:spacing w:line="240" w:lineRule="auto"/>
              <w:ind w:left="0"/>
              <w:rPr>
                <w:rFonts w:ascii="Calibri" w:eastAsia="Times New Roman" w:hAnsi="Calibri" w:cs="Calibri"/>
                <w:color w:val="000000"/>
                <w:sz w:val="19"/>
                <w:szCs w:val="19"/>
              </w:rPr>
            </w:pPr>
            <w:r>
              <w:rPr>
                <w:rFonts w:ascii="Calibri" w:eastAsia="Times New Roman" w:hAnsi="Calibri" w:cs="Calibri"/>
                <w:color w:val="000000"/>
                <w:sz w:val="19"/>
                <w:szCs w:val="19"/>
              </w:rPr>
              <w:t>Plan member j</w:t>
            </w:r>
            <w:r w:rsidR="005322DA" w:rsidRPr="005322DA">
              <w:rPr>
                <w:rFonts w:ascii="Calibri" w:eastAsia="Times New Roman" w:hAnsi="Calibri" w:cs="Calibri"/>
                <w:color w:val="000000"/>
                <w:sz w:val="19"/>
                <w:szCs w:val="19"/>
              </w:rPr>
              <w:t>ointly own the asset with another entity</w:t>
            </w:r>
            <w:r w:rsidR="00A12714">
              <w:rPr>
                <w:rFonts w:ascii="Calibri" w:eastAsia="Times New Roman" w:hAnsi="Calibri" w:cs="Calibri"/>
                <w:color w:val="000000"/>
                <w:sz w:val="19"/>
                <w:szCs w:val="19"/>
              </w:rPr>
              <w:t>.</w:t>
            </w:r>
          </w:p>
        </w:tc>
        <w:tc>
          <w:tcPr>
            <w:tcW w:w="4341" w:type="dxa"/>
            <w:tcBorders>
              <w:top w:val="single" w:sz="8" w:space="0" w:color="DDDDDD"/>
              <w:left w:val="nil"/>
              <w:bottom w:val="single" w:sz="4" w:space="0" w:color="000000"/>
              <w:right w:val="single" w:sz="4" w:space="0" w:color="000000"/>
            </w:tcBorders>
            <w:shd w:val="clear" w:color="000000" w:fill="FFFFFF"/>
            <w:hideMark/>
          </w:tcPr>
          <w:p w14:paraId="5DF43D5E" w14:textId="77777777" w:rsidR="005322DA" w:rsidRPr="005322DA" w:rsidRDefault="005322DA" w:rsidP="005322DA">
            <w:pPr>
              <w:spacing w:line="240" w:lineRule="auto"/>
              <w:ind w:firstLineChars="100" w:firstLine="190"/>
              <w:rPr>
                <w:rFonts w:ascii="Verdana" w:eastAsia="Times New Roman" w:hAnsi="Verdana" w:cs="Calibri"/>
                <w:color w:val="000000"/>
                <w:sz w:val="19"/>
                <w:szCs w:val="19"/>
              </w:rPr>
            </w:pPr>
            <w:r w:rsidRPr="005322DA">
              <w:rPr>
                <w:rFonts w:ascii="Verdana" w:eastAsia="Times New Roman" w:hAnsi="Verdana" w:cs="Calibri"/>
                <w:color w:val="000000"/>
                <w:sz w:val="19"/>
                <w:szCs w:val="19"/>
              </w:rPr>
              <w:t> </w:t>
            </w:r>
          </w:p>
        </w:tc>
      </w:tr>
      <w:tr w:rsidR="005322DA" w:rsidRPr="005322DA" w14:paraId="45BB3094" w14:textId="77777777" w:rsidTr="00FC6753">
        <w:trPr>
          <w:trHeight w:val="612"/>
          <w:jc w:val="center"/>
        </w:trPr>
        <w:tc>
          <w:tcPr>
            <w:tcW w:w="4341" w:type="dxa"/>
            <w:tcBorders>
              <w:top w:val="single" w:sz="8" w:space="0" w:color="DDDDDD"/>
              <w:left w:val="single" w:sz="4" w:space="0" w:color="000000"/>
              <w:bottom w:val="single" w:sz="4" w:space="0" w:color="000000"/>
              <w:right w:val="single" w:sz="4" w:space="0" w:color="000000"/>
            </w:tcBorders>
            <w:shd w:val="clear" w:color="000000" w:fill="FFFFFF"/>
            <w:hideMark/>
          </w:tcPr>
          <w:p w14:paraId="10B4C05F" w14:textId="19397671" w:rsidR="005322DA" w:rsidRPr="005322DA" w:rsidRDefault="00646F65" w:rsidP="00A12714">
            <w:pPr>
              <w:spacing w:line="240" w:lineRule="auto"/>
              <w:ind w:left="0"/>
              <w:rPr>
                <w:rFonts w:ascii="Calibri" w:eastAsia="Times New Roman" w:hAnsi="Calibri" w:cs="Calibri"/>
                <w:color w:val="000000"/>
                <w:sz w:val="19"/>
                <w:szCs w:val="19"/>
              </w:rPr>
            </w:pPr>
            <w:r>
              <w:rPr>
                <w:rFonts w:ascii="Calibri" w:eastAsia="Times New Roman" w:hAnsi="Calibri" w:cs="Calibri"/>
                <w:color w:val="000000"/>
                <w:sz w:val="19"/>
                <w:szCs w:val="19"/>
              </w:rPr>
              <w:t>Plan member is r</w:t>
            </w:r>
            <w:r w:rsidR="005322DA" w:rsidRPr="005322DA">
              <w:rPr>
                <w:rFonts w:ascii="Calibri" w:eastAsia="Times New Roman" w:hAnsi="Calibri" w:cs="Calibri"/>
                <w:color w:val="000000"/>
                <w:sz w:val="19"/>
                <w:szCs w:val="19"/>
              </w:rPr>
              <w:t>esponsible for replacing, overhauling, refurbishing, or conducting major repairs on that asset, or the costs of those activities are itemized</w:t>
            </w:r>
            <w:r w:rsidR="00A12714">
              <w:rPr>
                <w:rFonts w:ascii="Calibri" w:eastAsia="Times New Roman" w:hAnsi="Calibri" w:cs="Calibri"/>
                <w:color w:val="000000"/>
                <w:sz w:val="19"/>
                <w:szCs w:val="19"/>
              </w:rPr>
              <w:t xml:space="preserve"> as a capital line item in </w:t>
            </w:r>
            <w:r>
              <w:rPr>
                <w:rFonts w:ascii="Calibri" w:eastAsia="Times New Roman" w:hAnsi="Calibri" w:cs="Calibri"/>
                <w:color w:val="000000"/>
                <w:sz w:val="19"/>
                <w:szCs w:val="19"/>
              </w:rPr>
              <w:t xml:space="preserve">member’s </w:t>
            </w:r>
            <w:r w:rsidR="005322DA" w:rsidRPr="005322DA">
              <w:rPr>
                <w:rFonts w:ascii="Calibri" w:eastAsia="Times New Roman" w:hAnsi="Calibri" w:cs="Calibri"/>
                <w:color w:val="000000"/>
                <w:sz w:val="19"/>
                <w:szCs w:val="19"/>
              </w:rPr>
              <w:t>budget.</w:t>
            </w:r>
          </w:p>
        </w:tc>
        <w:tc>
          <w:tcPr>
            <w:tcW w:w="4341" w:type="dxa"/>
            <w:tcBorders>
              <w:top w:val="single" w:sz="8" w:space="0" w:color="DDDDDD"/>
              <w:left w:val="nil"/>
              <w:bottom w:val="single" w:sz="4" w:space="0" w:color="000000"/>
              <w:right w:val="single" w:sz="4" w:space="0" w:color="000000"/>
            </w:tcBorders>
            <w:shd w:val="clear" w:color="000000" w:fill="FFFFFF"/>
            <w:hideMark/>
          </w:tcPr>
          <w:p w14:paraId="0144C160" w14:textId="77777777" w:rsidR="005322DA" w:rsidRPr="005322DA" w:rsidRDefault="005322DA" w:rsidP="005322DA">
            <w:pPr>
              <w:spacing w:line="240" w:lineRule="auto"/>
              <w:ind w:firstLineChars="100" w:firstLine="190"/>
              <w:rPr>
                <w:rFonts w:ascii="Verdana" w:eastAsia="Times New Roman" w:hAnsi="Verdana" w:cs="Calibri"/>
                <w:color w:val="000000"/>
                <w:sz w:val="19"/>
                <w:szCs w:val="19"/>
              </w:rPr>
            </w:pPr>
            <w:r w:rsidRPr="005322DA">
              <w:rPr>
                <w:rFonts w:ascii="Verdana" w:eastAsia="Times New Roman" w:hAnsi="Verdana" w:cs="Calibri"/>
                <w:color w:val="000000"/>
                <w:sz w:val="19"/>
                <w:szCs w:val="19"/>
              </w:rPr>
              <w:t> </w:t>
            </w:r>
          </w:p>
        </w:tc>
      </w:tr>
    </w:tbl>
    <w:p w14:paraId="0AB30181" w14:textId="77777777" w:rsidR="005322DA" w:rsidRDefault="005322DA" w:rsidP="00683F37"/>
    <w:p w14:paraId="33DFE5AD" w14:textId="55C1E675" w:rsidR="00683F37" w:rsidRPr="00683F37" w:rsidRDefault="00683F37" w:rsidP="00683F37">
      <w:r>
        <w:t xml:space="preserve">  </w:t>
      </w:r>
      <w:r w:rsidRPr="00683F37">
        <w:rPr>
          <w:i/>
          <w:iCs/>
          <w:lang w:val="en"/>
        </w:rPr>
        <w:t>For Maintenance and Administrative facilities: </w:t>
      </w:r>
    </w:p>
    <w:p w14:paraId="2F7AF823" w14:textId="74737AEC" w:rsidR="00683F37" w:rsidRPr="00683F37" w:rsidRDefault="00683F37" w:rsidP="005A61E4">
      <w:pPr>
        <w:pStyle w:val="FristLevelBullet"/>
      </w:pPr>
      <w:r w:rsidRPr="00683F37">
        <w:rPr>
          <w:lang w:val="en"/>
        </w:rPr>
        <w:t xml:space="preserve">Any maintenance or administration facility under 100 square-ft. does not need to be included (e.g. security guard shack, stand-alone restroom, storage shelter in which no work </w:t>
      </w:r>
      <w:r w:rsidR="00A12714">
        <w:rPr>
          <w:lang w:val="en"/>
        </w:rPr>
        <w:t>is performed)</w:t>
      </w:r>
      <w:r w:rsidRPr="00683F37">
        <w:rPr>
          <w:lang w:val="en"/>
        </w:rPr>
        <w:t>.</w:t>
      </w:r>
    </w:p>
    <w:p w14:paraId="1B8E2BD6" w14:textId="26E08061" w:rsidR="00683F37" w:rsidRPr="00683F37" w:rsidRDefault="00E242BE" w:rsidP="005A61E4">
      <w:pPr>
        <w:pStyle w:val="FristLevelBullet"/>
      </w:pPr>
      <w:r>
        <w:rPr>
          <w:lang w:val="en"/>
        </w:rPr>
        <w:t>If transit v</w:t>
      </w:r>
      <w:r w:rsidR="00683F37" w:rsidRPr="00683F37">
        <w:rPr>
          <w:lang w:val="en"/>
        </w:rPr>
        <w:t>ehicles are the only vehicles</w:t>
      </w:r>
      <w:r w:rsidR="008224C8">
        <w:rPr>
          <w:lang w:val="en"/>
        </w:rPr>
        <w:t xml:space="preserve"> that</w:t>
      </w:r>
      <w:r w:rsidR="00683F37" w:rsidRPr="00683F37">
        <w:rPr>
          <w:lang w:val="en"/>
        </w:rPr>
        <w:t xml:space="preserve"> the maintenance facility services, then it is considered an “exclusive use” facility and t</w:t>
      </w:r>
      <w:r w:rsidR="00A12714">
        <w:rPr>
          <w:lang w:val="en"/>
        </w:rPr>
        <w:t xml:space="preserve">hus must be inventoried in the provider’s </w:t>
      </w:r>
      <w:r w:rsidR="00683F37" w:rsidRPr="00683F37">
        <w:rPr>
          <w:lang w:val="en"/>
        </w:rPr>
        <w:t>TAM plan.</w:t>
      </w:r>
    </w:p>
    <w:p w14:paraId="38347168" w14:textId="45447D55" w:rsidR="00683F37" w:rsidRPr="00683F37" w:rsidRDefault="00683F37" w:rsidP="005A61E4">
      <w:pPr>
        <w:pStyle w:val="FristLevelBullet"/>
      </w:pPr>
      <w:r w:rsidRPr="00683F37">
        <w:rPr>
          <w:lang w:val="en"/>
        </w:rPr>
        <w:t>If the administrative office is in a building that has only incidental transit use (e.g. city hall), then it is not required to be include</w:t>
      </w:r>
      <w:r w:rsidR="00A12714">
        <w:rPr>
          <w:lang w:val="en"/>
        </w:rPr>
        <w:t>d.</w:t>
      </w:r>
    </w:p>
    <w:p w14:paraId="5A4B00E0" w14:textId="77777777" w:rsidR="00BB1208" w:rsidRDefault="00BB1208" w:rsidP="00683F37">
      <w:pPr>
        <w:rPr>
          <w:i/>
          <w:iCs/>
          <w:lang w:val="en"/>
        </w:rPr>
      </w:pPr>
    </w:p>
    <w:p w14:paraId="4EEF7341" w14:textId="7774E390" w:rsidR="00683F37" w:rsidRPr="00683F37" w:rsidRDefault="00683F37" w:rsidP="00683F37">
      <w:r w:rsidRPr="00683F37">
        <w:rPr>
          <w:i/>
          <w:iCs/>
          <w:lang w:val="en"/>
        </w:rPr>
        <w:t>For Passenger and Parking facilities:</w:t>
      </w:r>
    </w:p>
    <w:p w14:paraId="53256199" w14:textId="343AD93D" w:rsidR="00683F37" w:rsidRPr="00683F37" w:rsidRDefault="00683F37" w:rsidP="005A61E4">
      <w:pPr>
        <w:pStyle w:val="FristLevelBullet"/>
      </w:pPr>
      <w:r w:rsidRPr="00683F37">
        <w:rPr>
          <w:lang w:val="en"/>
        </w:rPr>
        <w:t>All passenger facilit</w:t>
      </w:r>
      <w:r w:rsidR="00A12714">
        <w:rPr>
          <w:lang w:val="en"/>
        </w:rPr>
        <w:t xml:space="preserve">ies must be inventoried in the </w:t>
      </w:r>
      <w:r w:rsidRPr="00683F37">
        <w:rPr>
          <w:lang w:val="en"/>
        </w:rPr>
        <w:t>TAM plan and reported to the N</w:t>
      </w:r>
      <w:r w:rsidR="00880998">
        <w:rPr>
          <w:lang w:val="en"/>
        </w:rPr>
        <w:t xml:space="preserve">ational </w:t>
      </w:r>
      <w:r w:rsidRPr="00683F37">
        <w:rPr>
          <w:lang w:val="en"/>
        </w:rPr>
        <w:t>T</w:t>
      </w:r>
      <w:r w:rsidR="00880998">
        <w:rPr>
          <w:lang w:val="en"/>
        </w:rPr>
        <w:t xml:space="preserve">ransit </w:t>
      </w:r>
      <w:r w:rsidRPr="00683F37">
        <w:rPr>
          <w:lang w:val="en"/>
        </w:rPr>
        <w:t>D</w:t>
      </w:r>
      <w:r w:rsidR="00880998">
        <w:rPr>
          <w:lang w:val="en"/>
        </w:rPr>
        <w:t>atabases (NTD)</w:t>
      </w:r>
      <w:r w:rsidRPr="00683F37">
        <w:rPr>
          <w:lang w:val="en"/>
        </w:rPr>
        <w:t xml:space="preserve"> regardless of ownership.</w:t>
      </w:r>
    </w:p>
    <w:p w14:paraId="5C1E1461" w14:textId="48E09E2F" w:rsidR="00683F37" w:rsidRPr="005322DA" w:rsidRDefault="00E242BE" w:rsidP="005A61E4">
      <w:pPr>
        <w:pStyle w:val="FristLevelBullet"/>
      </w:pPr>
      <w:r>
        <w:rPr>
          <w:lang w:val="en"/>
        </w:rPr>
        <w:t xml:space="preserve">TAM Plan </w:t>
      </w:r>
      <w:r w:rsidR="00683F37" w:rsidRPr="00683F37">
        <w:rPr>
          <w:lang w:val="en"/>
        </w:rPr>
        <w:t>must inventory all p</w:t>
      </w:r>
      <w:r>
        <w:rPr>
          <w:lang w:val="en"/>
        </w:rPr>
        <w:t xml:space="preserve">arking facilities for which there is </w:t>
      </w:r>
      <w:r w:rsidR="00683F37" w:rsidRPr="00683F37">
        <w:rPr>
          <w:lang w:val="en"/>
        </w:rPr>
        <w:t>direct capital responsibility, and that are immediately adjacent to a passenger facility (e.g. a park-and-ride lot or a garage).</w:t>
      </w:r>
    </w:p>
    <w:p w14:paraId="15445086" w14:textId="5D886BB9" w:rsidR="0085500E" w:rsidRDefault="0085500E" w:rsidP="00A57488">
      <w:pPr>
        <w:rPr>
          <w:b/>
        </w:rPr>
      </w:pPr>
      <w:bookmarkStart w:id="19" w:name="_Hlk525932259"/>
    </w:p>
    <w:p w14:paraId="55998201" w14:textId="7D1D4C7B" w:rsidR="00CC09AD" w:rsidRDefault="00CC09AD" w:rsidP="00A57488">
      <w:pPr>
        <w:rPr>
          <w:b/>
        </w:rPr>
      </w:pPr>
    </w:p>
    <w:p w14:paraId="680C0F01" w14:textId="31A8912D" w:rsidR="00CC09AD" w:rsidRDefault="00CC09AD" w:rsidP="00A57488">
      <w:pPr>
        <w:rPr>
          <w:b/>
        </w:rPr>
      </w:pPr>
    </w:p>
    <w:p w14:paraId="2AD62FD5" w14:textId="77777777" w:rsidR="00CC09AD" w:rsidRDefault="00CC09AD" w:rsidP="00A57488">
      <w:pPr>
        <w:rPr>
          <w:b/>
        </w:rPr>
      </w:pPr>
    </w:p>
    <w:p w14:paraId="2ECE50DD" w14:textId="77777777" w:rsidR="0096285E" w:rsidRDefault="0096285E">
      <w:pPr>
        <w:spacing w:after="200" w:line="276" w:lineRule="auto"/>
        <w:ind w:left="0"/>
        <w:rPr>
          <w:b/>
        </w:rPr>
      </w:pPr>
      <w:r>
        <w:rPr>
          <w:b/>
        </w:rPr>
        <w:br w:type="page"/>
      </w:r>
    </w:p>
    <w:p w14:paraId="60DD47BB" w14:textId="0C9E451E" w:rsidR="007C4FD5" w:rsidRPr="005A61E4" w:rsidRDefault="007C4FD5" w:rsidP="00FC6753">
      <w:pPr>
        <w:spacing w:line="276" w:lineRule="auto"/>
        <w:ind w:left="274"/>
        <w:rPr>
          <w:b/>
        </w:rPr>
      </w:pPr>
      <w:r w:rsidRPr="005A61E4">
        <w:rPr>
          <w:b/>
        </w:rPr>
        <w:lastRenderedPageBreak/>
        <w:t xml:space="preserve">Table </w:t>
      </w:r>
      <w:r w:rsidR="00A20AB5">
        <w:rPr>
          <w:b/>
        </w:rPr>
        <w:t>8</w:t>
      </w:r>
      <w:r w:rsidR="00A20AB5" w:rsidRPr="005A61E4">
        <w:rPr>
          <w:b/>
        </w:rPr>
        <w:t xml:space="preserve"> </w:t>
      </w:r>
      <w:r w:rsidR="00845DD7">
        <w:rPr>
          <w:b/>
        </w:rPr>
        <w:t>Maine</w:t>
      </w:r>
      <w:r w:rsidR="009A4675">
        <w:rPr>
          <w:b/>
        </w:rPr>
        <w:t>DOT</w:t>
      </w:r>
      <w:r w:rsidRPr="005A61E4">
        <w:rPr>
          <w:b/>
        </w:rPr>
        <w:t xml:space="preserve"> </w:t>
      </w:r>
      <w:r w:rsidR="00C7355C">
        <w:rPr>
          <w:b/>
        </w:rPr>
        <w:t xml:space="preserve">Facility </w:t>
      </w:r>
      <w:r w:rsidRPr="005A61E4">
        <w:rPr>
          <w:b/>
        </w:rPr>
        <w:t>Condition Assessment Tool</w:t>
      </w:r>
    </w:p>
    <w:bookmarkEnd w:id="19"/>
    <w:p w14:paraId="2415BE55" w14:textId="1A216E6F" w:rsidR="007C4FD5" w:rsidRDefault="007C4FD5" w:rsidP="007C4FD5">
      <w:pPr>
        <w:spacing w:line="240" w:lineRule="auto"/>
        <w:rPr>
          <w:rFonts w:ascii="Calibri" w:eastAsia="Times New Roman" w:hAnsi="Calibri" w:cs="Calibri"/>
          <w:color w:val="000000"/>
          <w:sz w:val="20"/>
        </w:rPr>
      </w:pPr>
    </w:p>
    <w:p w14:paraId="1359389B" w14:textId="2D04CBC0" w:rsidR="007C4FD5" w:rsidRDefault="007C4FD5" w:rsidP="005A61E4">
      <w:r w:rsidRPr="007C4FD5">
        <w:t xml:space="preserve">This table is to be used for completion of the facility assessment. It includes </w:t>
      </w:r>
      <w:r w:rsidR="003A5A28">
        <w:t>10</w:t>
      </w:r>
      <w:r w:rsidR="003A5A28" w:rsidRPr="007C4FD5">
        <w:t xml:space="preserve"> </w:t>
      </w:r>
      <w:r w:rsidRPr="007C4FD5">
        <w:t xml:space="preserve">inspection areas requiring ratings </w:t>
      </w:r>
      <w:r w:rsidRPr="00C51EC9">
        <w:t xml:space="preserve">(see Table </w:t>
      </w:r>
      <w:r w:rsidR="00493F14" w:rsidRPr="00C51EC9">
        <w:t>1</w:t>
      </w:r>
      <w:r w:rsidR="00493F14">
        <w:t>1</w:t>
      </w:r>
      <w:r w:rsidRPr="00C51EC9">
        <w:t>)</w:t>
      </w:r>
      <w:r w:rsidRPr="007C4FD5">
        <w:t xml:space="preserve"> for each </w:t>
      </w:r>
      <w:r w:rsidR="00CC09AD" w:rsidRPr="007C4FD5">
        <w:t>subcategory</w:t>
      </w:r>
      <w:r w:rsidRPr="007C4FD5">
        <w:t xml:space="preserve">. The score will automatically calculate the </w:t>
      </w:r>
      <w:r w:rsidR="003A5A28">
        <w:t>State of Good Repair (</w:t>
      </w:r>
      <w:r w:rsidRPr="007C4FD5">
        <w:t>SGR</w:t>
      </w:r>
      <w:r w:rsidR="003A5A28">
        <w:t>)</w:t>
      </w:r>
      <w:r w:rsidRPr="007C4FD5">
        <w:t xml:space="preserve"> score for the facility based on weighted averages of each inspection area. </w:t>
      </w:r>
    </w:p>
    <w:p w14:paraId="5F6FC5CC" w14:textId="2D25BF5E" w:rsidR="007C4FD5" w:rsidRPr="007C4FD5" w:rsidRDefault="0085500E" w:rsidP="002B2782">
      <w:pPr>
        <w:spacing w:line="240" w:lineRule="auto"/>
        <w:jc w:val="center"/>
        <w:rPr>
          <w:rFonts w:ascii="Calibri" w:eastAsia="Times New Roman" w:hAnsi="Calibri" w:cs="Calibri"/>
          <w:color w:val="000000"/>
        </w:rPr>
      </w:pPr>
      <w:r w:rsidRPr="0085500E">
        <w:rPr>
          <w:noProof/>
        </w:rPr>
        <w:drawing>
          <wp:inline distT="0" distB="0" distL="0" distR="0" wp14:anchorId="3F2B4D9A" wp14:editId="5450F14E">
            <wp:extent cx="4833979" cy="6885129"/>
            <wp:effectExtent l="0" t="0" r="5080" b="0"/>
            <wp:docPr id="14" name="Picture 14" descr="Table 8 MaineDOT Facility Condition Assessment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 8 MaineDOT Facility Condition Assessment To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0777" cy="6894811"/>
                    </a:xfrm>
                    <a:prstGeom prst="rect">
                      <a:avLst/>
                    </a:prstGeom>
                    <a:noFill/>
                    <a:ln>
                      <a:noFill/>
                    </a:ln>
                  </pic:spPr>
                </pic:pic>
              </a:graphicData>
            </a:graphic>
          </wp:inline>
        </w:drawing>
      </w:r>
    </w:p>
    <w:p w14:paraId="22B12EEA" w14:textId="77777777" w:rsidR="00BB1208" w:rsidRDefault="00BB1208" w:rsidP="007C4FD5">
      <w:pPr>
        <w:spacing w:line="240" w:lineRule="auto"/>
        <w:rPr>
          <w:rFonts w:eastAsia="Times New Roman" w:cs="Calibri"/>
          <w:b/>
          <w:color w:val="000000"/>
        </w:rPr>
      </w:pPr>
    </w:p>
    <w:p w14:paraId="2CFC265F" w14:textId="4F40EEEF" w:rsidR="0085500E" w:rsidRDefault="00F4672A" w:rsidP="007C4FD5">
      <w:pPr>
        <w:spacing w:line="240" w:lineRule="auto"/>
        <w:rPr>
          <w:rFonts w:eastAsia="Times New Roman" w:cs="Calibri"/>
          <w:b/>
          <w:color w:val="000000"/>
        </w:rPr>
      </w:pPr>
      <w:r>
        <w:rPr>
          <w:rFonts w:eastAsia="Times New Roman" w:cs="Calibri"/>
          <w:b/>
          <w:color w:val="000000"/>
        </w:rPr>
        <w:lastRenderedPageBreak/>
        <w:t>Water-Based Transit Systems</w:t>
      </w:r>
    </w:p>
    <w:p w14:paraId="48C7F5B6" w14:textId="77777777" w:rsidR="0085500E" w:rsidRDefault="0085500E" w:rsidP="007C4FD5">
      <w:pPr>
        <w:spacing w:line="240" w:lineRule="auto"/>
        <w:rPr>
          <w:rFonts w:eastAsia="Times New Roman" w:cs="Calibri"/>
          <w:b/>
          <w:color w:val="000000"/>
        </w:rPr>
      </w:pPr>
    </w:p>
    <w:p w14:paraId="3DA80EAB" w14:textId="155D3E25" w:rsidR="002A0667" w:rsidRDefault="005A5772" w:rsidP="007C4FD5">
      <w:pPr>
        <w:spacing w:line="240" w:lineRule="auto"/>
        <w:rPr>
          <w:rFonts w:eastAsia="Times New Roman" w:cs="Calibri"/>
          <w:color w:val="000000"/>
        </w:rPr>
      </w:pPr>
      <w:r>
        <w:rPr>
          <w:rFonts w:eastAsia="Times New Roman" w:cs="Calibri"/>
          <w:color w:val="000000"/>
        </w:rPr>
        <w:t>Ferry service providers comply with U.S. Coast Guard in their inspection and condition requirements for vessels.</w:t>
      </w:r>
    </w:p>
    <w:p w14:paraId="525AA9CB" w14:textId="77777777" w:rsidR="002A0667" w:rsidRDefault="002A0667" w:rsidP="007C4FD5">
      <w:pPr>
        <w:spacing w:line="240" w:lineRule="auto"/>
        <w:rPr>
          <w:rFonts w:eastAsia="Times New Roman" w:cs="Calibri"/>
          <w:color w:val="000000"/>
        </w:rPr>
      </w:pPr>
    </w:p>
    <w:p w14:paraId="1FEFB29F" w14:textId="730EE347" w:rsidR="0085500E" w:rsidRPr="005A5772" w:rsidRDefault="005A5772" w:rsidP="007C4FD5">
      <w:pPr>
        <w:spacing w:line="240" w:lineRule="auto"/>
        <w:rPr>
          <w:rFonts w:eastAsia="Times New Roman" w:cs="Calibri"/>
          <w:color w:val="000000"/>
        </w:rPr>
      </w:pPr>
      <w:r>
        <w:rPr>
          <w:rFonts w:eastAsia="Times New Roman" w:cs="Calibri"/>
          <w:color w:val="000000"/>
        </w:rPr>
        <w:t xml:space="preserve">Tables </w:t>
      </w:r>
      <w:r w:rsidR="00A20AB5">
        <w:rPr>
          <w:rFonts w:eastAsia="Times New Roman" w:cs="Calibri"/>
          <w:color w:val="000000"/>
        </w:rPr>
        <w:t xml:space="preserve">9 </w:t>
      </w:r>
      <w:r>
        <w:rPr>
          <w:rFonts w:eastAsia="Times New Roman" w:cs="Calibri"/>
          <w:color w:val="000000"/>
        </w:rPr>
        <w:t xml:space="preserve">and </w:t>
      </w:r>
      <w:r w:rsidR="00A20AB5">
        <w:rPr>
          <w:rFonts w:eastAsia="Times New Roman" w:cs="Calibri"/>
          <w:color w:val="000000"/>
        </w:rPr>
        <w:t xml:space="preserve">10 </w:t>
      </w:r>
      <w:r>
        <w:rPr>
          <w:rFonts w:eastAsia="Times New Roman" w:cs="Calibri"/>
          <w:color w:val="000000"/>
        </w:rPr>
        <w:t>represent the assessment forms that will be used for water-based transit facilities.</w:t>
      </w:r>
    </w:p>
    <w:p w14:paraId="3BF337F8" w14:textId="77777777" w:rsidR="0085500E" w:rsidRDefault="0085500E" w:rsidP="007C4FD5">
      <w:pPr>
        <w:spacing w:line="240" w:lineRule="auto"/>
        <w:rPr>
          <w:rFonts w:eastAsia="Times New Roman" w:cs="Calibri"/>
          <w:b/>
          <w:color w:val="000000"/>
        </w:rPr>
      </w:pPr>
    </w:p>
    <w:p w14:paraId="24E4CB5F" w14:textId="2400B474" w:rsidR="00C7355C" w:rsidRPr="00C7355C" w:rsidRDefault="00C7355C" w:rsidP="007C4FD5">
      <w:pPr>
        <w:spacing w:line="240" w:lineRule="auto"/>
        <w:rPr>
          <w:rFonts w:eastAsia="Times New Roman" w:cs="Calibri"/>
          <w:b/>
          <w:color w:val="000000"/>
        </w:rPr>
      </w:pPr>
      <w:r w:rsidRPr="00C7355C">
        <w:rPr>
          <w:rFonts w:eastAsia="Times New Roman" w:cs="Calibri"/>
          <w:b/>
          <w:color w:val="000000"/>
        </w:rPr>
        <w:t xml:space="preserve">Table </w:t>
      </w:r>
      <w:r w:rsidR="00A20AB5">
        <w:rPr>
          <w:rFonts w:eastAsia="Times New Roman" w:cs="Calibri"/>
          <w:b/>
          <w:color w:val="000000"/>
        </w:rPr>
        <w:t>9</w:t>
      </w:r>
      <w:r w:rsidR="00A20AB5" w:rsidRPr="00C7355C">
        <w:rPr>
          <w:rFonts w:eastAsia="Times New Roman" w:cs="Calibri"/>
          <w:b/>
          <w:color w:val="000000"/>
        </w:rPr>
        <w:t xml:space="preserve"> </w:t>
      </w:r>
      <w:r w:rsidRPr="00C7355C">
        <w:rPr>
          <w:rFonts w:eastAsia="Times New Roman" w:cs="Calibri"/>
          <w:b/>
          <w:color w:val="000000"/>
        </w:rPr>
        <w:t>MaineDOT Condition Assessment Tool – Ferry Infrastructure</w:t>
      </w:r>
    </w:p>
    <w:p w14:paraId="35CAF03E" w14:textId="456F588F" w:rsidR="0050140F" w:rsidRDefault="0050140F" w:rsidP="007C4FD5">
      <w:pPr>
        <w:spacing w:line="240" w:lineRule="auto"/>
        <w:rPr>
          <w:rFonts w:ascii="Calibri" w:eastAsia="Times New Roman" w:hAnsi="Calibri" w:cs="Calibri"/>
          <w:color w:val="000000"/>
        </w:rPr>
      </w:pPr>
    </w:p>
    <w:p w14:paraId="5BA53E37" w14:textId="0D87970E" w:rsidR="0050140F" w:rsidRDefault="00DB156A" w:rsidP="004107E7">
      <w:pPr>
        <w:spacing w:line="240" w:lineRule="auto"/>
        <w:jc w:val="center"/>
        <w:rPr>
          <w:rFonts w:ascii="Calibri" w:eastAsia="Times New Roman" w:hAnsi="Calibri" w:cs="Calibri"/>
          <w:color w:val="000000"/>
        </w:rPr>
      </w:pPr>
      <w:r w:rsidRPr="00DB156A">
        <w:rPr>
          <w:noProof/>
        </w:rPr>
        <w:drawing>
          <wp:inline distT="0" distB="0" distL="0" distR="0" wp14:anchorId="6FCCBE3B" wp14:editId="6F860474">
            <wp:extent cx="5056515" cy="5648690"/>
            <wp:effectExtent l="0" t="0" r="0" b="9525"/>
            <wp:docPr id="79" name="Picture 79" descr="Table 9 MaineDOT Condition Assessment Tool for Ferry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able 9 MaineDOT Condition Assessment Tool for Ferry Infrastruc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2558" cy="5688954"/>
                    </a:xfrm>
                    <a:prstGeom prst="rect">
                      <a:avLst/>
                    </a:prstGeom>
                    <a:noFill/>
                    <a:ln>
                      <a:noFill/>
                    </a:ln>
                  </pic:spPr>
                </pic:pic>
              </a:graphicData>
            </a:graphic>
          </wp:inline>
        </w:drawing>
      </w:r>
    </w:p>
    <w:p w14:paraId="1F5FDD74" w14:textId="77777777" w:rsidR="004107E7" w:rsidRDefault="004107E7" w:rsidP="005A61E4"/>
    <w:p w14:paraId="5AECFB1D" w14:textId="77777777" w:rsidR="002B2782" w:rsidRDefault="002B2782" w:rsidP="005A61E4"/>
    <w:p w14:paraId="1B4BFB61" w14:textId="2C28E953" w:rsidR="002B2782" w:rsidRDefault="002B2782" w:rsidP="005A61E4"/>
    <w:p w14:paraId="388BEA32" w14:textId="6AA46038" w:rsidR="002B2782" w:rsidRDefault="002B2782" w:rsidP="005A61E4"/>
    <w:p w14:paraId="3F0C3F4D" w14:textId="53E54995" w:rsidR="002B2782" w:rsidRDefault="002B2782" w:rsidP="005A61E4"/>
    <w:p w14:paraId="4BCC5311" w14:textId="609F92AB" w:rsidR="002B2782" w:rsidRDefault="002B2782" w:rsidP="005A61E4">
      <w:pPr>
        <w:rPr>
          <w:rFonts w:eastAsia="Times New Roman" w:cs="Calibri"/>
          <w:b/>
          <w:color w:val="000000"/>
        </w:rPr>
      </w:pPr>
      <w:r w:rsidRPr="00C7355C">
        <w:rPr>
          <w:rFonts w:eastAsia="Times New Roman" w:cs="Calibri"/>
          <w:b/>
          <w:color w:val="000000"/>
        </w:rPr>
        <w:lastRenderedPageBreak/>
        <w:t xml:space="preserve">Table </w:t>
      </w:r>
      <w:r w:rsidR="00B2587A">
        <w:rPr>
          <w:rFonts w:eastAsia="Times New Roman" w:cs="Calibri"/>
          <w:b/>
          <w:color w:val="000000"/>
        </w:rPr>
        <w:t>10</w:t>
      </w:r>
      <w:r w:rsidR="00B2587A" w:rsidRPr="00C7355C">
        <w:rPr>
          <w:rFonts w:eastAsia="Times New Roman" w:cs="Calibri"/>
          <w:b/>
          <w:color w:val="000000"/>
        </w:rPr>
        <w:t xml:space="preserve"> </w:t>
      </w:r>
      <w:r w:rsidRPr="00C7355C">
        <w:rPr>
          <w:rFonts w:eastAsia="Times New Roman" w:cs="Calibri"/>
          <w:b/>
          <w:color w:val="000000"/>
        </w:rPr>
        <w:t xml:space="preserve">MaineDOT Condition Assessment Tool – Ferry </w:t>
      </w:r>
      <w:r>
        <w:rPr>
          <w:rFonts w:eastAsia="Times New Roman" w:cs="Calibri"/>
          <w:b/>
          <w:color w:val="000000"/>
        </w:rPr>
        <w:t>Transfer Bridges</w:t>
      </w:r>
    </w:p>
    <w:p w14:paraId="64CA81B6" w14:textId="77777777" w:rsidR="00810F86" w:rsidRDefault="00810F86" w:rsidP="005A61E4">
      <w:pPr>
        <w:rPr>
          <w:rFonts w:eastAsia="Times New Roman" w:cs="Calibri"/>
          <w:b/>
          <w:color w:val="000000"/>
        </w:rPr>
      </w:pPr>
    </w:p>
    <w:p w14:paraId="179437AF" w14:textId="0D29B52E" w:rsidR="002B2782" w:rsidRDefault="00DB156A" w:rsidP="00DB156A">
      <w:pPr>
        <w:jc w:val="center"/>
      </w:pPr>
      <w:r w:rsidRPr="00DB156A">
        <w:rPr>
          <w:noProof/>
        </w:rPr>
        <w:drawing>
          <wp:inline distT="0" distB="0" distL="0" distR="0" wp14:anchorId="130C179B" wp14:editId="37575F14">
            <wp:extent cx="3832529" cy="7727244"/>
            <wp:effectExtent l="0" t="0" r="0" b="7620"/>
            <wp:docPr id="86" name="Picture 86" descr="Table 10 Ferry Terminal Transfer Bridge Inspec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Table 10 Ferry Terminal Transfer Bridge Inspection She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7190" cy="7776966"/>
                    </a:xfrm>
                    <a:prstGeom prst="rect">
                      <a:avLst/>
                    </a:prstGeom>
                    <a:noFill/>
                    <a:ln>
                      <a:noFill/>
                    </a:ln>
                  </pic:spPr>
                </pic:pic>
              </a:graphicData>
            </a:graphic>
          </wp:inline>
        </w:drawing>
      </w:r>
    </w:p>
    <w:p w14:paraId="528C5E4D" w14:textId="77777777" w:rsidR="00810F86" w:rsidRDefault="00810F86" w:rsidP="00DB156A">
      <w:pPr>
        <w:jc w:val="center"/>
      </w:pPr>
    </w:p>
    <w:p w14:paraId="65718BE4" w14:textId="21C1BFAB" w:rsidR="005A5772" w:rsidRPr="005A5772" w:rsidRDefault="005A5772" w:rsidP="005A61E4">
      <w:pPr>
        <w:rPr>
          <w:b/>
        </w:rPr>
      </w:pPr>
      <w:r w:rsidRPr="005A5772">
        <w:rPr>
          <w:b/>
        </w:rPr>
        <w:t>Condition Rating Scales for all Facility Assessments</w:t>
      </w:r>
    </w:p>
    <w:p w14:paraId="274D7EC5" w14:textId="77777777" w:rsidR="00BB1208" w:rsidRDefault="00BB1208" w:rsidP="005A61E4"/>
    <w:p w14:paraId="136AC126" w14:textId="5FA7113F" w:rsidR="00C7355C" w:rsidRDefault="00DB156A" w:rsidP="005A61E4">
      <w:r>
        <w:t xml:space="preserve">Each Facility Assessment Form includes the following two charts. </w:t>
      </w:r>
      <w:r w:rsidR="007C4FD5" w:rsidRPr="007C4FD5">
        <w:t xml:space="preserve">The </w:t>
      </w:r>
      <w:r>
        <w:t xml:space="preserve">below </w:t>
      </w:r>
      <w:r w:rsidR="007C4FD5" w:rsidRPr="007C4FD5">
        <w:t>Condition Assessment Rating Scale is used to reference the description for scores of 1-5. This scale is taken from FTA's Transit Economic Requirements Model (TERM) scale, used primarily for</w:t>
      </w:r>
      <w:r>
        <w:t xml:space="preserve"> land and water-based</w:t>
      </w:r>
      <w:r w:rsidR="007C4FD5" w:rsidRPr="007C4FD5">
        <w:t xml:space="preserve"> facilities.</w:t>
      </w:r>
    </w:p>
    <w:p w14:paraId="3B1B49EE" w14:textId="26B4159D" w:rsidR="00C7355C" w:rsidRPr="007C4FD5" w:rsidRDefault="00C7355C" w:rsidP="005A61E4"/>
    <w:p w14:paraId="1102B419" w14:textId="0429D472" w:rsidR="00810F86" w:rsidRDefault="00C51EC9" w:rsidP="00810F86">
      <w:pPr>
        <w:rPr>
          <w:b/>
        </w:rPr>
      </w:pPr>
      <w:bookmarkStart w:id="20" w:name="_Hlk527366721"/>
      <w:r w:rsidRPr="00C51EC9">
        <w:rPr>
          <w:b/>
        </w:rPr>
        <w:t xml:space="preserve">Table </w:t>
      </w:r>
      <w:r w:rsidR="00493F14" w:rsidRPr="00C51EC9">
        <w:rPr>
          <w:b/>
        </w:rPr>
        <w:t>1</w:t>
      </w:r>
      <w:r w:rsidR="00493F14">
        <w:rPr>
          <w:b/>
        </w:rPr>
        <w:t>1</w:t>
      </w:r>
      <w:r w:rsidR="00493F14" w:rsidRPr="00C51EC9">
        <w:rPr>
          <w:b/>
        </w:rPr>
        <w:t xml:space="preserve"> </w:t>
      </w:r>
      <w:r w:rsidRPr="00C51EC9">
        <w:rPr>
          <w:b/>
        </w:rPr>
        <w:t>Facility Condition Assessment Rating Scale and Assessor Information</w:t>
      </w:r>
      <w:bookmarkEnd w:id="20"/>
    </w:p>
    <w:p w14:paraId="382F3916" w14:textId="44D28BE6" w:rsidR="00810F86" w:rsidRDefault="00810F86" w:rsidP="00810F86">
      <w:pPr>
        <w:rPr>
          <w:b/>
        </w:rPr>
      </w:pPr>
    </w:p>
    <w:p w14:paraId="154472F3" w14:textId="5C4DD676" w:rsidR="00810F86" w:rsidRPr="00C51EC9" w:rsidRDefault="00810F86" w:rsidP="000D0EEE">
      <w:pPr>
        <w:rPr>
          <w:b/>
        </w:rPr>
      </w:pPr>
      <w:r w:rsidRPr="00C51EC9">
        <w:rPr>
          <w:b/>
          <w:noProof/>
        </w:rPr>
        <w:drawing>
          <wp:anchor distT="0" distB="0" distL="114300" distR="114300" simplePos="0" relativeHeight="251663360" behindDoc="0" locked="0" layoutInCell="1" allowOverlap="1" wp14:anchorId="7224BA97" wp14:editId="69747D93">
            <wp:simplePos x="0" y="0"/>
            <wp:positionH relativeFrom="margin">
              <wp:posOffset>396240</wp:posOffset>
            </wp:positionH>
            <wp:positionV relativeFrom="paragraph">
              <wp:posOffset>32081</wp:posOffset>
            </wp:positionV>
            <wp:extent cx="4914900" cy="2278380"/>
            <wp:effectExtent l="0" t="0" r="0" b="7620"/>
            <wp:wrapSquare wrapText="bothSides"/>
            <wp:docPr id="15" name="Picture 15" descr="Table 11 Facility Condition Assessment Rating Scale and Assess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 11 Facility Condition Assessment Rating Scale and Assessor Inform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490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4415C" w14:textId="7501EB1C" w:rsidR="00BC7BAC" w:rsidRDefault="00BC7BAC" w:rsidP="000D0EEE"/>
    <w:p w14:paraId="2D3C3D57" w14:textId="77777777" w:rsidR="00BC7BAC" w:rsidRDefault="00BC7BAC" w:rsidP="000D0EEE"/>
    <w:p w14:paraId="7B0A010D" w14:textId="17E266C2" w:rsidR="00BC7BAC" w:rsidRDefault="00BC7BAC" w:rsidP="000D0EEE"/>
    <w:p w14:paraId="49D756BE" w14:textId="751B0869" w:rsidR="00BC7BAC" w:rsidRDefault="00BC7BAC" w:rsidP="000D0EEE"/>
    <w:p w14:paraId="65279D26" w14:textId="294066C7" w:rsidR="00BC7BAC" w:rsidRDefault="00BC7BAC" w:rsidP="000D0EEE"/>
    <w:p w14:paraId="3BC4AAC0" w14:textId="6AB33DC8" w:rsidR="00BC7BAC" w:rsidRDefault="00BC7BAC" w:rsidP="000D0EEE"/>
    <w:p w14:paraId="02D74977" w14:textId="3D7ECE1B" w:rsidR="00BC7BAC" w:rsidRDefault="00BC7BAC" w:rsidP="000D0EEE"/>
    <w:p w14:paraId="62B160A4" w14:textId="77777777" w:rsidR="007C4FD5" w:rsidRDefault="007C4FD5" w:rsidP="007C4FD5">
      <w:pPr>
        <w:spacing w:line="240" w:lineRule="auto"/>
        <w:rPr>
          <w:rFonts w:ascii="Calibri" w:eastAsia="Times New Roman" w:hAnsi="Calibri" w:cs="Calibri"/>
          <w:color w:val="000000"/>
        </w:rPr>
      </w:pPr>
    </w:p>
    <w:p w14:paraId="5EF3AC3E" w14:textId="77777777" w:rsidR="005A61E4" w:rsidRDefault="005A61E4" w:rsidP="007C4FD5">
      <w:pPr>
        <w:spacing w:line="240" w:lineRule="auto"/>
        <w:rPr>
          <w:rFonts w:ascii="Calibri" w:eastAsia="Times New Roman" w:hAnsi="Calibri" w:cs="Calibri"/>
          <w:color w:val="000000"/>
        </w:rPr>
      </w:pPr>
    </w:p>
    <w:p w14:paraId="4523BFD5" w14:textId="77777777" w:rsidR="005A61E4" w:rsidRDefault="005A61E4" w:rsidP="007C4FD5">
      <w:pPr>
        <w:spacing w:line="240" w:lineRule="auto"/>
        <w:rPr>
          <w:rFonts w:ascii="Calibri" w:eastAsia="Times New Roman" w:hAnsi="Calibri" w:cs="Calibri"/>
          <w:color w:val="000000"/>
        </w:rPr>
      </w:pPr>
    </w:p>
    <w:p w14:paraId="07832B25" w14:textId="77777777" w:rsidR="005A61E4" w:rsidRDefault="005A61E4" w:rsidP="007C4FD5">
      <w:pPr>
        <w:spacing w:line="240" w:lineRule="auto"/>
        <w:rPr>
          <w:rFonts w:ascii="Calibri" w:eastAsia="Times New Roman" w:hAnsi="Calibri" w:cs="Calibri"/>
          <w:color w:val="000000"/>
        </w:rPr>
      </w:pPr>
    </w:p>
    <w:p w14:paraId="39F0FC9A" w14:textId="77777777" w:rsidR="005A61E4" w:rsidRDefault="005A61E4" w:rsidP="007C4FD5">
      <w:pPr>
        <w:spacing w:line="240" w:lineRule="auto"/>
        <w:rPr>
          <w:rFonts w:ascii="Calibri" w:eastAsia="Times New Roman" w:hAnsi="Calibri" w:cs="Calibri"/>
          <w:color w:val="000000"/>
        </w:rPr>
      </w:pPr>
    </w:p>
    <w:p w14:paraId="2324CEBE" w14:textId="6E19AFFA" w:rsidR="00FD4D7A" w:rsidRDefault="00FD4D7A" w:rsidP="00FD4D7A">
      <w:pPr>
        <w:ind w:left="0"/>
      </w:pPr>
      <w:r>
        <w:t xml:space="preserve">  </w:t>
      </w:r>
    </w:p>
    <w:p w14:paraId="1EEDBFF3" w14:textId="6A810A05" w:rsidR="00B074F8" w:rsidRDefault="00FD4D7A" w:rsidP="00FD4D7A">
      <w:pPr>
        <w:ind w:left="0"/>
      </w:pPr>
      <w:r w:rsidRPr="00F624EB">
        <w:rPr>
          <w:noProof/>
        </w:rPr>
        <w:drawing>
          <wp:anchor distT="0" distB="0" distL="114300" distR="114300" simplePos="0" relativeHeight="251662336" behindDoc="0" locked="0" layoutInCell="1" allowOverlap="1" wp14:anchorId="7D2227B1" wp14:editId="23B0AD12">
            <wp:simplePos x="0" y="0"/>
            <wp:positionH relativeFrom="margin">
              <wp:align>center</wp:align>
            </wp:positionH>
            <wp:positionV relativeFrom="paragraph">
              <wp:posOffset>645795</wp:posOffset>
            </wp:positionV>
            <wp:extent cx="5524500" cy="982345"/>
            <wp:effectExtent l="0" t="0" r="0" b="8255"/>
            <wp:wrapSquare wrapText="bothSides"/>
            <wp:docPr id="16" name="Picture 16" descr="Table 11A - partner form to Tabl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 11A - partner form to Table 11"/>
                    <pic:cNvPicPr>
                      <a:picLocks noChangeAspect="1" noChangeArrowheads="1"/>
                    </pic:cNvPicPr>
                  </pic:nvPicPr>
                  <pic:blipFill rotWithShape="1">
                    <a:blip r:embed="rId25">
                      <a:extLst>
                        <a:ext uri="{28A0092B-C50C-407E-A947-70E740481C1C}">
                          <a14:useLocalDpi xmlns:a14="http://schemas.microsoft.com/office/drawing/2010/main" val="0"/>
                        </a:ext>
                      </a:extLst>
                    </a:blip>
                    <a:srcRect t="42189"/>
                    <a:stretch/>
                  </pic:blipFill>
                  <pic:spPr bwMode="auto">
                    <a:xfrm>
                      <a:off x="0" y="0"/>
                      <a:ext cx="5524500" cy="9823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B156A">
        <w:t>The form is to</w:t>
      </w:r>
      <w:r w:rsidR="007C4FD5" w:rsidRPr="007C4FD5">
        <w:t xml:space="preserve"> be completed to include the individual(s) who assess each component of the Facility Assessment form. A column on the form requires initials of the person completing that section of the assessment</w:t>
      </w:r>
      <w:r w:rsidR="005E7A7E">
        <w:t xml:space="preserve"> along with date, full name</w:t>
      </w:r>
      <w:r w:rsidR="003A5A28">
        <w:t>,</w:t>
      </w:r>
      <w:r w:rsidR="005E7A7E">
        <w:t xml:space="preserve"> and title.</w:t>
      </w:r>
    </w:p>
    <w:p w14:paraId="5B060ACD" w14:textId="1C169683" w:rsidR="00E11DF6" w:rsidRDefault="00E11DF6" w:rsidP="005A61E4">
      <w:pPr>
        <w:pStyle w:val="Heading2"/>
      </w:pPr>
    </w:p>
    <w:p w14:paraId="5D54EC17" w14:textId="26385357" w:rsidR="005E7A7E" w:rsidRDefault="005E7A7E" w:rsidP="005E7A7E">
      <w:pPr>
        <w:jc w:val="center"/>
      </w:pPr>
    </w:p>
    <w:p w14:paraId="1DF217B5" w14:textId="77777777" w:rsidR="005E7A7E" w:rsidRDefault="005E7A7E" w:rsidP="005E7A7E"/>
    <w:p w14:paraId="16E64385" w14:textId="77777777" w:rsidR="00A5351F" w:rsidRDefault="00A5351F">
      <w:pPr>
        <w:spacing w:after="200" w:line="276" w:lineRule="auto"/>
        <w:ind w:left="0"/>
        <w:rPr>
          <w:b/>
        </w:rPr>
      </w:pPr>
      <w:r>
        <w:rPr>
          <w:b/>
        </w:rPr>
        <w:br w:type="page"/>
      </w:r>
    </w:p>
    <w:p w14:paraId="43745F85" w14:textId="2B47A771" w:rsidR="00802E48" w:rsidRDefault="00880998">
      <w:pPr>
        <w:spacing w:after="200" w:line="276" w:lineRule="auto"/>
        <w:ind w:left="0"/>
        <w:rPr>
          <w:b/>
        </w:rPr>
      </w:pPr>
      <w:bookmarkStart w:id="21" w:name="_Hlk527366577"/>
      <w:r>
        <w:rPr>
          <w:b/>
        </w:rPr>
        <w:lastRenderedPageBreak/>
        <w:t xml:space="preserve">Table </w:t>
      </w:r>
      <w:r w:rsidR="00493F14">
        <w:rPr>
          <w:b/>
        </w:rPr>
        <w:t xml:space="preserve">12 </w:t>
      </w:r>
      <w:r w:rsidR="002A0667" w:rsidRPr="002A0667">
        <w:rPr>
          <w:b/>
        </w:rPr>
        <w:t>Condition Rating Scale for Ferry Vessels</w:t>
      </w:r>
      <w:bookmarkEnd w:id="21"/>
    </w:p>
    <w:tbl>
      <w:tblPr>
        <w:tblW w:w="8840" w:type="dxa"/>
        <w:tblLook w:val="04A0" w:firstRow="1" w:lastRow="0" w:firstColumn="1" w:lastColumn="0" w:noHBand="0" w:noVBand="1"/>
      </w:tblPr>
      <w:tblGrid>
        <w:gridCol w:w="1097"/>
        <w:gridCol w:w="1927"/>
        <w:gridCol w:w="1934"/>
        <w:gridCol w:w="1941"/>
        <w:gridCol w:w="1941"/>
      </w:tblGrid>
      <w:tr w:rsidR="00810F86" w:rsidRPr="00810F86" w14:paraId="43E84E8E" w14:textId="77777777" w:rsidTr="00810F86">
        <w:trPr>
          <w:trHeight w:val="585"/>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A9165" w14:textId="77777777" w:rsidR="00810F86" w:rsidRPr="00810F86" w:rsidRDefault="00810F86" w:rsidP="00810F86">
            <w:pPr>
              <w:spacing w:line="240" w:lineRule="auto"/>
              <w:ind w:left="0"/>
              <w:jc w:val="center"/>
              <w:rPr>
                <w:rFonts w:ascii="Times New Roman" w:eastAsia="Times New Roman" w:hAnsi="Times New Roman"/>
                <w:b/>
                <w:bCs/>
                <w:color w:val="000000"/>
              </w:rPr>
            </w:pPr>
            <w:r w:rsidRPr="00810F86">
              <w:rPr>
                <w:rFonts w:ascii="Times New Roman" w:eastAsia="Times New Roman" w:hAnsi="Times New Roman"/>
                <w:b/>
                <w:bCs/>
                <w:color w:val="000000"/>
              </w:rPr>
              <w:t>ASSET RATING SCORE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6AE8A40F" w14:textId="77777777" w:rsidR="00810F86" w:rsidRPr="00810F86" w:rsidRDefault="00810F86" w:rsidP="00810F86">
            <w:pPr>
              <w:spacing w:line="240" w:lineRule="auto"/>
              <w:ind w:left="0"/>
              <w:jc w:val="center"/>
              <w:rPr>
                <w:rFonts w:ascii="Times New Roman" w:eastAsia="Times New Roman" w:hAnsi="Times New Roman"/>
                <w:b/>
                <w:bCs/>
                <w:color w:val="000000"/>
              </w:rPr>
            </w:pPr>
            <w:r w:rsidRPr="00810F86">
              <w:rPr>
                <w:rFonts w:ascii="Times New Roman" w:eastAsia="Times New Roman" w:hAnsi="Times New Roman"/>
                <w:b/>
                <w:bCs/>
                <w:color w:val="000000"/>
              </w:rPr>
              <w:t>Asset Age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79EAC184" w14:textId="77777777" w:rsidR="00810F86" w:rsidRPr="00810F86" w:rsidRDefault="00810F86" w:rsidP="00810F86">
            <w:pPr>
              <w:spacing w:line="240" w:lineRule="auto"/>
              <w:ind w:left="0"/>
              <w:jc w:val="center"/>
              <w:rPr>
                <w:rFonts w:ascii="Times New Roman" w:eastAsia="Times New Roman" w:hAnsi="Times New Roman"/>
                <w:b/>
                <w:bCs/>
                <w:color w:val="000000"/>
              </w:rPr>
            </w:pPr>
            <w:r w:rsidRPr="00810F86">
              <w:rPr>
                <w:rFonts w:ascii="Times New Roman" w:eastAsia="Times New Roman" w:hAnsi="Times New Roman"/>
                <w:b/>
                <w:bCs/>
                <w:color w:val="000000"/>
              </w:rPr>
              <w:t>Asset Condition</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3E0EDEB6" w14:textId="77777777" w:rsidR="00810F86" w:rsidRPr="00810F86" w:rsidRDefault="00810F86" w:rsidP="00810F86">
            <w:pPr>
              <w:spacing w:line="240" w:lineRule="auto"/>
              <w:ind w:left="0"/>
              <w:jc w:val="center"/>
              <w:rPr>
                <w:rFonts w:ascii="Times New Roman" w:eastAsia="Times New Roman" w:hAnsi="Times New Roman"/>
                <w:b/>
                <w:bCs/>
                <w:color w:val="000000"/>
              </w:rPr>
            </w:pPr>
            <w:r w:rsidRPr="00810F86">
              <w:rPr>
                <w:rFonts w:ascii="Times New Roman" w:eastAsia="Times New Roman" w:hAnsi="Times New Roman"/>
                <w:b/>
                <w:bCs/>
                <w:color w:val="000000"/>
              </w:rPr>
              <w:t>Asset Performance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5B82CC66" w14:textId="77777777" w:rsidR="00810F86" w:rsidRPr="00810F86" w:rsidRDefault="00810F86" w:rsidP="00810F86">
            <w:pPr>
              <w:spacing w:line="240" w:lineRule="auto"/>
              <w:ind w:left="0"/>
              <w:jc w:val="center"/>
              <w:rPr>
                <w:rFonts w:ascii="Times New Roman" w:eastAsia="Times New Roman" w:hAnsi="Times New Roman"/>
                <w:b/>
                <w:bCs/>
                <w:color w:val="000000"/>
              </w:rPr>
            </w:pPr>
            <w:r w:rsidRPr="00810F86">
              <w:rPr>
                <w:rFonts w:ascii="Times New Roman" w:eastAsia="Times New Roman" w:hAnsi="Times New Roman"/>
                <w:b/>
                <w:bCs/>
                <w:color w:val="000000"/>
              </w:rPr>
              <w:t>Level of Maintenance</w:t>
            </w:r>
          </w:p>
        </w:tc>
      </w:tr>
      <w:tr w:rsidR="00810F86" w:rsidRPr="00810F86" w14:paraId="25851CE4" w14:textId="77777777" w:rsidTr="00810F86">
        <w:trPr>
          <w:trHeight w:val="765"/>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21A6DD6" w14:textId="77777777" w:rsidR="00810F86" w:rsidRPr="00810F86" w:rsidRDefault="00810F86" w:rsidP="00810F86">
            <w:pPr>
              <w:spacing w:line="240" w:lineRule="auto"/>
              <w:ind w:left="0"/>
              <w:rPr>
                <w:rFonts w:ascii="Times New Roman" w:eastAsia="Times New Roman" w:hAnsi="Times New Roman"/>
                <w:b/>
                <w:bCs/>
                <w:color w:val="000000"/>
              </w:rPr>
            </w:pPr>
          </w:p>
        </w:tc>
        <w:tc>
          <w:tcPr>
            <w:tcW w:w="1960" w:type="dxa"/>
            <w:tcBorders>
              <w:top w:val="nil"/>
              <w:left w:val="nil"/>
              <w:bottom w:val="nil"/>
              <w:right w:val="single" w:sz="8" w:space="0" w:color="auto"/>
            </w:tcBorders>
            <w:shd w:val="clear" w:color="auto" w:fill="auto"/>
            <w:vAlign w:val="center"/>
            <w:hideMark/>
          </w:tcPr>
          <w:p w14:paraId="0AF472D4"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(Percent of useful life remaining)</w:t>
            </w:r>
          </w:p>
        </w:tc>
        <w:tc>
          <w:tcPr>
            <w:tcW w:w="1960" w:type="dxa"/>
            <w:tcBorders>
              <w:top w:val="nil"/>
              <w:left w:val="nil"/>
              <w:bottom w:val="nil"/>
              <w:right w:val="single" w:sz="8" w:space="0" w:color="auto"/>
            </w:tcBorders>
            <w:shd w:val="clear" w:color="auto" w:fill="auto"/>
            <w:vAlign w:val="center"/>
            <w:hideMark/>
          </w:tcPr>
          <w:p w14:paraId="5EE5D873"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(Quality, Level of Maintenance Required)</w:t>
            </w:r>
          </w:p>
        </w:tc>
        <w:tc>
          <w:tcPr>
            <w:tcW w:w="1960" w:type="dxa"/>
            <w:tcBorders>
              <w:top w:val="nil"/>
              <w:left w:val="nil"/>
              <w:bottom w:val="nil"/>
              <w:right w:val="single" w:sz="8" w:space="0" w:color="auto"/>
            </w:tcBorders>
            <w:shd w:val="clear" w:color="auto" w:fill="auto"/>
            <w:vAlign w:val="center"/>
            <w:hideMark/>
          </w:tcPr>
          <w:p w14:paraId="32AD9EC7"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(Reliability, Safety, Meets Industry Standards)</w:t>
            </w:r>
          </w:p>
        </w:tc>
        <w:tc>
          <w:tcPr>
            <w:tcW w:w="1960" w:type="dxa"/>
            <w:tcBorders>
              <w:top w:val="nil"/>
              <w:left w:val="nil"/>
              <w:bottom w:val="nil"/>
              <w:right w:val="single" w:sz="8" w:space="0" w:color="auto"/>
            </w:tcBorders>
            <w:shd w:val="clear" w:color="auto" w:fill="auto"/>
            <w:vAlign w:val="center"/>
            <w:hideMark/>
          </w:tcPr>
          <w:p w14:paraId="49B0FA74"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(Level of Preventative and Corrective Maintenance)</w:t>
            </w:r>
          </w:p>
        </w:tc>
      </w:tr>
      <w:tr w:rsidR="00810F86" w:rsidRPr="00810F86" w14:paraId="65B5B47E" w14:textId="77777777" w:rsidTr="00810F86">
        <w:trPr>
          <w:trHeight w:val="1275"/>
        </w:trPr>
        <w:tc>
          <w:tcPr>
            <w:tcW w:w="1000" w:type="dxa"/>
            <w:tcBorders>
              <w:top w:val="nil"/>
              <w:left w:val="single" w:sz="4" w:space="0" w:color="auto"/>
              <w:bottom w:val="single" w:sz="4" w:space="0" w:color="auto"/>
              <w:right w:val="single" w:sz="8" w:space="0" w:color="auto"/>
            </w:tcBorders>
            <w:shd w:val="clear" w:color="auto" w:fill="auto"/>
            <w:vAlign w:val="center"/>
            <w:hideMark/>
          </w:tcPr>
          <w:p w14:paraId="7EB22E1E" w14:textId="77777777" w:rsidR="00810F86" w:rsidRPr="00810F86" w:rsidRDefault="00810F86" w:rsidP="00810F86">
            <w:pPr>
              <w:spacing w:line="240" w:lineRule="auto"/>
              <w:ind w:left="0"/>
              <w:jc w:val="center"/>
              <w:rPr>
                <w:rFonts w:ascii="Times New Roman" w:eastAsia="Times New Roman" w:hAnsi="Times New Roman"/>
                <w:color w:val="000000"/>
              </w:rPr>
            </w:pPr>
            <w:r w:rsidRPr="00810F86">
              <w:rPr>
                <w:rFonts w:ascii="Times New Roman" w:eastAsia="Times New Roman" w:hAnsi="Times New Roman"/>
                <w:color w:val="000000"/>
              </w:rPr>
              <w:t>5</w:t>
            </w:r>
            <w:r w:rsidRPr="00810F86">
              <w:rPr>
                <w:rFonts w:ascii="Times New Roman" w:eastAsia="Times New Roman" w:hAnsi="Times New Roman"/>
                <w:color w:val="000000"/>
              </w:rPr>
              <w:br/>
              <w:t>Excellent</w:t>
            </w:r>
          </w:p>
        </w:tc>
        <w:tc>
          <w:tcPr>
            <w:tcW w:w="1960" w:type="dxa"/>
            <w:tcBorders>
              <w:top w:val="single" w:sz="4" w:space="0" w:color="auto"/>
              <w:left w:val="nil"/>
              <w:bottom w:val="single" w:sz="4" w:space="0" w:color="auto"/>
              <w:right w:val="single" w:sz="8" w:space="0" w:color="auto"/>
            </w:tcBorders>
            <w:shd w:val="clear" w:color="auto" w:fill="auto"/>
            <w:vAlign w:val="center"/>
            <w:hideMark/>
          </w:tcPr>
          <w:p w14:paraId="14A02631"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 xml:space="preserve">Asset new or nearly new </w:t>
            </w:r>
            <w:r w:rsidRPr="00810F86">
              <w:rPr>
                <w:rFonts w:ascii="Times New Roman" w:eastAsia="Times New Roman" w:hAnsi="Times New Roman"/>
                <w:color w:val="000000"/>
                <w:sz w:val="20"/>
                <w:szCs w:val="20"/>
              </w:rPr>
              <w:br/>
              <w:t>75% - 100%</w:t>
            </w:r>
          </w:p>
        </w:tc>
        <w:tc>
          <w:tcPr>
            <w:tcW w:w="1960" w:type="dxa"/>
            <w:tcBorders>
              <w:top w:val="single" w:sz="4" w:space="0" w:color="auto"/>
              <w:left w:val="nil"/>
              <w:bottom w:val="single" w:sz="4" w:space="0" w:color="auto"/>
              <w:right w:val="single" w:sz="8" w:space="0" w:color="auto"/>
            </w:tcBorders>
            <w:shd w:val="clear" w:color="auto" w:fill="auto"/>
            <w:vAlign w:val="center"/>
            <w:hideMark/>
          </w:tcPr>
          <w:p w14:paraId="5EE5F1DA"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new or like new, no visible defects</w:t>
            </w:r>
          </w:p>
        </w:tc>
        <w:tc>
          <w:tcPr>
            <w:tcW w:w="1960" w:type="dxa"/>
            <w:tcBorders>
              <w:top w:val="single" w:sz="4" w:space="0" w:color="auto"/>
              <w:left w:val="nil"/>
              <w:bottom w:val="single" w:sz="4" w:space="0" w:color="auto"/>
              <w:right w:val="single" w:sz="8" w:space="0" w:color="auto"/>
            </w:tcBorders>
            <w:shd w:val="clear" w:color="auto" w:fill="auto"/>
            <w:vAlign w:val="center"/>
            <w:hideMark/>
          </w:tcPr>
          <w:p w14:paraId="367C200C"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meets or exceeds all performance and reliability metrics, industry standards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2E63CC2"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No unfunded or deferred maintenance activities</w:t>
            </w:r>
          </w:p>
        </w:tc>
      </w:tr>
      <w:tr w:rsidR="00810F86" w:rsidRPr="00810F86" w14:paraId="778CFA2A" w14:textId="77777777" w:rsidTr="00810F86">
        <w:trPr>
          <w:trHeight w:val="1530"/>
        </w:trPr>
        <w:tc>
          <w:tcPr>
            <w:tcW w:w="1000" w:type="dxa"/>
            <w:tcBorders>
              <w:top w:val="nil"/>
              <w:left w:val="single" w:sz="4" w:space="0" w:color="auto"/>
              <w:bottom w:val="single" w:sz="4" w:space="0" w:color="auto"/>
              <w:right w:val="single" w:sz="8" w:space="0" w:color="auto"/>
            </w:tcBorders>
            <w:shd w:val="clear" w:color="auto" w:fill="auto"/>
            <w:vAlign w:val="center"/>
            <w:hideMark/>
          </w:tcPr>
          <w:p w14:paraId="06DA33B2" w14:textId="77777777" w:rsidR="00810F86" w:rsidRPr="00810F86" w:rsidRDefault="00810F86" w:rsidP="00810F86">
            <w:pPr>
              <w:spacing w:line="240" w:lineRule="auto"/>
              <w:ind w:left="0"/>
              <w:jc w:val="center"/>
              <w:rPr>
                <w:rFonts w:ascii="Times New Roman" w:eastAsia="Times New Roman" w:hAnsi="Times New Roman"/>
                <w:color w:val="000000"/>
              </w:rPr>
            </w:pPr>
            <w:r w:rsidRPr="00810F86">
              <w:rPr>
                <w:rFonts w:ascii="Times New Roman" w:eastAsia="Times New Roman" w:hAnsi="Times New Roman"/>
                <w:color w:val="000000"/>
              </w:rPr>
              <w:t>4</w:t>
            </w:r>
            <w:r w:rsidRPr="00810F86">
              <w:rPr>
                <w:rFonts w:ascii="Times New Roman" w:eastAsia="Times New Roman" w:hAnsi="Times New Roman"/>
                <w:color w:val="000000"/>
              </w:rPr>
              <w:br/>
              <w:t>Good</w:t>
            </w:r>
          </w:p>
        </w:tc>
        <w:tc>
          <w:tcPr>
            <w:tcW w:w="1960" w:type="dxa"/>
            <w:tcBorders>
              <w:top w:val="nil"/>
              <w:left w:val="nil"/>
              <w:bottom w:val="single" w:sz="4" w:space="0" w:color="auto"/>
              <w:right w:val="single" w:sz="8" w:space="0" w:color="auto"/>
            </w:tcBorders>
            <w:shd w:val="clear" w:color="auto" w:fill="auto"/>
            <w:vAlign w:val="center"/>
            <w:hideMark/>
          </w:tcPr>
          <w:p w14:paraId="7BFDF90B"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 xml:space="preserve">Asset nearing or at its midlife point </w:t>
            </w:r>
            <w:r w:rsidRPr="00810F86">
              <w:rPr>
                <w:rFonts w:ascii="Times New Roman" w:eastAsia="Times New Roman" w:hAnsi="Times New Roman"/>
                <w:color w:val="000000"/>
                <w:sz w:val="20"/>
                <w:szCs w:val="20"/>
              </w:rPr>
              <w:br/>
              <w:t>50% - 75%</w:t>
            </w:r>
          </w:p>
        </w:tc>
        <w:tc>
          <w:tcPr>
            <w:tcW w:w="1960" w:type="dxa"/>
            <w:tcBorders>
              <w:top w:val="nil"/>
              <w:left w:val="nil"/>
              <w:bottom w:val="single" w:sz="4" w:space="0" w:color="auto"/>
              <w:right w:val="single" w:sz="8" w:space="0" w:color="auto"/>
            </w:tcBorders>
            <w:shd w:val="clear" w:color="auto" w:fill="auto"/>
            <w:vAlign w:val="center"/>
            <w:hideMark/>
          </w:tcPr>
          <w:p w14:paraId="594822D7"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showing minimal signs of wear; some slight defects or deterioration</w:t>
            </w:r>
          </w:p>
        </w:tc>
        <w:tc>
          <w:tcPr>
            <w:tcW w:w="1960" w:type="dxa"/>
            <w:tcBorders>
              <w:top w:val="nil"/>
              <w:left w:val="nil"/>
              <w:bottom w:val="single" w:sz="4" w:space="0" w:color="auto"/>
              <w:right w:val="single" w:sz="8" w:space="0" w:color="auto"/>
            </w:tcBorders>
            <w:shd w:val="clear" w:color="auto" w:fill="auto"/>
            <w:vAlign w:val="center"/>
            <w:hideMark/>
          </w:tcPr>
          <w:p w14:paraId="3F6D7815"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general meets performance and reliability metrics, industry standards</w:t>
            </w:r>
          </w:p>
        </w:tc>
        <w:tc>
          <w:tcPr>
            <w:tcW w:w="1960" w:type="dxa"/>
            <w:tcBorders>
              <w:top w:val="nil"/>
              <w:left w:val="nil"/>
              <w:bottom w:val="single" w:sz="4" w:space="0" w:color="auto"/>
              <w:right w:val="single" w:sz="4" w:space="0" w:color="auto"/>
            </w:tcBorders>
            <w:shd w:val="clear" w:color="auto" w:fill="auto"/>
            <w:vAlign w:val="center"/>
            <w:hideMark/>
          </w:tcPr>
          <w:p w14:paraId="65A49FA2"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Corrective maintenance increasing, no skipped preventive or corrective maintenance</w:t>
            </w:r>
          </w:p>
        </w:tc>
      </w:tr>
      <w:tr w:rsidR="00810F86" w:rsidRPr="00810F86" w14:paraId="756941E1" w14:textId="77777777" w:rsidTr="00810F86">
        <w:trPr>
          <w:trHeight w:val="1275"/>
        </w:trPr>
        <w:tc>
          <w:tcPr>
            <w:tcW w:w="1000" w:type="dxa"/>
            <w:tcBorders>
              <w:top w:val="nil"/>
              <w:left w:val="single" w:sz="4" w:space="0" w:color="auto"/>
              <w:bottom w:val="single" w:sz="4" w:space="0" w:color="auto"/>
              <w:right w:val="single" w:sz="8" w:space="0" w:color="auto"/>
            </w:tcBorders>
            <w:shd w:val="clear" w:color="auto" w:fill="auto"/>
            <w:vAlign w:val="center"/>
            <w:hideMark/>
          </w:tcPr>
          <w:p w14:paraId="7666282C" w14:textId="77777777" w:rsidR="00810F86" w:rsidRPr="00810F86" w:rsidRDefault="00810F86" w:rsidP="00810F86">
            <w:pPr>
              <w:spacing w:line="240" w:lineRule="auto"/>
              <w:ind w:left="0"/>
              <w:jc w:val="center"/>
              <w:rPr>
                <w:rFonts w:ascii="Times New Roman" w:eastAsia="Times New Roman" w:hAnsi="Times New Roman"/>
                <w:color w:val="000000"/>
              </w:rPr>
            </w:pPr>
            <w:r w:rsidRPr="00810F86">
              <w:rPr>
                <w:rFonts w:ascii="Times New Roman" w:eastAsia="Times New Roman" w:hAnsi="Times New Roman"/>
                <w:color w:val="000000"/>
              </w:rPr>
              <w:t>3</w:t>
            </w:r>
            <w:r w:rsidRPr="00810F86">
              <w:rPr>
                <w:rFonts w:ascii="Times New Roman" w:eastAsia="Times New Roman" w:hAnsi="Times New Roman"/>
                <w:color w:val="000000"/>
              </w:rPr>
              <w:br/>
              <w:t>Adequate</w:t>
            </w:r>
          </w:p>
        </w:tc>
        <w:tc>
          <w:tcPr>
            <w:tcW w:w="1960" w:type="dxa"/>
            <w:tcBorders>
              <w:top w:val="nil"/>
              <w:left w:val="nil"/>
              <w:bottom w:val="single" w:sz="4" w:space="0" w:color="auto"/>
              <w:right w:val="single" w:sz="8" w:space="0" w:color="auto"/>
            </w:tcBorders>
            <w:shd w:val="clear" w:color="auto" w:fill="auto"/>
            <w:vAlign w:val="center"/>
            <w:hideMark/>
          </w:tcPr>
          <w:p w14:paraId="48201732"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has passed its midlife point</w:t>
            </w:r>
            <w:r w:rsidRPr="00810F86">
              <w:rPr>
                <w:rFonts w:ascii="Times New Roman" w:eastAsia="Times New Roman" w:hAnsi="Times New Roman"/>
                <w:color w:val="000000"/>
                <w:sz w:val="20"/>
                <w:szCs w:val="20"/>
              </w:rPr>
              <w:br/>
              <w:t>25% - 50%</w:t>
            </w:r>
          </w:p>
        </w:tc>
        <w:tc>
          <w:tcPr>
            <w:tcW w:w="1960" w:type="dxa"/>
            <w:tcBorders>
              <w:top w:val="nil"/>
              <w:left w:val="nil"/>
              <w:bottom w:val="single" w:sz="4" w:space="0" w:color="auto"/>
              <w:right w:val="single" w:sz="8" w:space="0" w:color="auto"/>
            </w:tcBorders>
            <w:shd w:val="clear" w:color="auto" w:fill="auto"/>
            <w:vAlign w:val="center"/>
            <w:hideMark/>
          </w:tcPr>
          <w:p w14:paraId="1226B2B5"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Some moderately defective or deteriorated components; expected maintenance needs</w:t>
            </w:r>
          </w:p>
        </w:tc>
        <w:tc>
          <w:tcPr>
            <w:tcW w:w="1960" w:type="dxa"/>
            <w:tcBorders>
              <w:top w:val="nil"/>
              <w:left w:val="nil"/>
              <w:bottom w:val="single" w:sz="4" w:space="0" w:color="auto"/>
              <w:right w:val="single" w:sz="8" w:space="0" w:color="auto"/>
            </w:tcBorders>
            <w:shd w:val="clear" w:color="auto" w:fill="auto"/>
            <w:vAlign w:val="center"/>
            <w:hideMark/>
          </w:tcPr>
          <w:p w14:paraId="71A27F8D"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Occasional performance and reliability issues; may be substandard in some areas</w:t>
            </w:r>
          </w:p>
        </w:tc>
        <w:tc>
          <w:tcPr>
            <w:tcW w:w="1960" w:type="dxa"/>
            <w:tcBorders>
              <w:top w:val="nil"/>
              <w:left w:val="nil"/>
              <w:bottom w:val="single" w:sz="4" w:space="0" w:color="auto"/>
              <w:right w:val="single" w:sz="4" w:space="0" w:color="auto"/>
            </w:tcBorders>
            <w:shd w:val="clear" w:color="auto" w:fill="auto"/>
            <w:vAlign w:val="center"/>
            <w:hideMark/>
          </w:tcPr>
          <w:p w14:paraId="02042E1A"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More frequent corrective maintenance required and some minor component failures</w:t>
            </w:r>
          </w:p>
        </w:tc>
      </w:tr>
      <w:tr w:rsidR="00810F86" w:rsidRPr="00810F86" w14:paraId="15400012" w14:textId="77777777" w:rsidTr="00810F86">
        <w:trPr>
          <w:trHeight w:val="1275"/>
        </w:trPr>
        <w:tc>
          <w:tcPr>
            <w:tcW w:w="1000" w:type="dxa"/>
            <w:tcBorders>
              <w:top w:val="nil"/>
              <w:left w:val="single" w:sz="4" w:space="0" w:color="auto"/>
              <w:bottom w:val="single" w:sz="4" w:space="0" w:color="auto"/>
              <w:right w:val="single" w:sz="8" w:space="0" w:color="auto"/>
            </w:tcBorders>
            <w:shd w:val="clear" w:color="auto" w:fill="auto"/>
            <w:vAlign w:val="center"/>
            <w:hideMark/>
          </w:tcPr>
          <w:p w14:paraId="62115BE9" w14:textId="77777777" w:rsidR="00810F86" w:rsidRPr="00810F86" w:rsidRDefault="00810F86" w:rsidP="00810F86">
            <w:pPr>
              <w:spacing w:line="240" w:lineRule="auto"/>
              <w:ind w:left="0"/>
              <w:jc w:val="center"/>
              <w:rPr>
                <w:rFonts w:ascii="Times New Roman" w:eastAsia="Times New Roman" w:hAnsi="Times New Roman"/>
                <w:color w:val="000000"/>
              </w:rPr>
            </w:pPr>
            <w:r w:rsidRPr="00810F86">
              <w:rPr>
                <w:rFonts w:ascii="Times New Roman" w:eastAsia="Times New Roman" w:hAnsi="Times New Roman"/>
                <w:color w:val="000000"/>
              </w:rPr>
              <w:t>2</w:t>
            </w:r>
            <w:r w:rsidRPr="00810F86">
              <w:rPr>
                <w:rFonts w:ascii="Times New Roman" w:eastAsia="Times New Roman" w:hAnsi="Times New Roman"/>
                <w:color w:val="000000"/>
              </w:rPr>
              <w:br/>
              <w:t>Marginal</w:t>
            </w:r>
          </w:p>
        </w:tc>
        <w:tc>
          <w:tcPr>
            <w:tcW w:w="1960" w:type="dxa"/>
            <w:tcBorders>
              <w:top w:val="nil"/>
              <w:left w:val="nil"/>
              <w:bottom w:val="single" w:sz="4" w:space="0" w:color="auto"/>
              <w:right w:val="single" w:sz="8" w:space="0" w:color="auto"/>
            </w:tcBorders>
            <w:shd w:val="clear" w:color="auto" w:fill="auto"/>
            <w:vAlign w:val="center"/>
            <w:hideMark/>
          </w:tcPr>
          <w:p w14:paraId="4EFFDE46"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nearing or at end of its useful life</w:t>
            </w:r>
            <w:r w:rsidRPr="00810F86">
              <w:rPr>
                <w:rFonts w:ascii="Times New Roman" w:eastAsia="Times New Roman" w:hAnsi="Times New Roman"/>
                <w:color w:val="000000"/>
                <w:sz w:val="20"/>
                <w:szCs w:val="20"/>
              </w:rPr>
              <w:br/>
              <w:t>0% - 25%</w:t>
            </w:r>
          </w:p>
        </w:tc>
        <w:tc>
          <w:tcPr>
            <w:tcW w:w="1960" w:type="dxa"/>
            <w:tcBorders>
              <w:top w:val="nil"/>
              <w:left w:val="nil"/>
              <w:bottom w:val="single" w:sz="4" w:space="0" w:color="auto"/>
              <w:right w:val="single" w:sz="8" w:space="0" w:color="auto"/>
            </w:tcBorders>
            <w:shd w:val="clear" w:color="auto" w:fill="auto"/>
            <w:vAlign w:val="center"/>
            <w:hideMark/>
          </w:tcPr>
          <w:p w14:paraId="48FEFB18"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Increasing numbers of defects; deteriorating components; growing maintenance needs</w:t>
            </w:r>
          </w:p>
        </w:tc>
        <w:tc>
          <w:tcPr>
            <w:tcW w:w="1960" w:type="dxa"/>
            <w:tcBorders>
              <w:top w:val="nil"/>
              <w:left w:val="nil"/>
              <w:bottom w:val="single" w:sz="4" w:space="0" w:color="auto"/>
              <w:right w:val="single" w:sz="8" w:space="0" w:color="auto"/>
            </w:tcBorders>
            <w:shd w:val="clear" w:color="auto" w:fill="auto"/>
            <w:vAlign w:val="center"/>
            <w:hideMark/>
          </w:tcPr>
          <w:p w14:paraId="78F3B57C"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Performance and reliability problems becoming more frequent; sub-standard elements</w:t>
            </w:r>
          </w:p>
        </w:tc>
        <w:tc>
          <w:tcPr>
            <w:tcW w:w="1960" w:type="dxa"/>
            <w:tcBorders>
              <w:top w:val="nil"/>
              <w:left w:val="nil"/>
              <w:bottom w:val="single" w:sz="4" w:space="0" w:color="auto"/>
              <w:right w:val="single" w:sz="4" w:space="0" w:color="auto"/>
            </w:tcBorders>
            <w:shd w:val="clear" w:color="auto" w:fill="auto"/>
            <w:vAlign w:val="center"/>
            <w:hideMark/>
          </w:tcPr>
          <w:p w14:paraId="38865A39"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 xml:space="preserve">Frequent corrective maintenance activities; major components needing replacement or rehab </w:t>
            </w:r>
          </w:p>
        </w:tc>
      </w:tr>
      <w:tr w:rsidR="00810F86" w:rsidRPr="00810F86" w14:paraId="5BD1CD94" w14:textId="77777777" w:rsidTr="00810F86">
        <w:trPr>
          <w:trHeight w:val="1275"/>
        </w:trPr>
        <w:tc>
          <w:tcPr>
            <w:tcW w:w="1000" w:type="dxa"/>
            <w:tcBorders>
              <w:top w:val="nil"/>
              <w:left w:val="single" w:sz="4" w:space="0" w:color="auto"/>
              <w:bottom w:val="single" w:sz="4" w:space="0" w:color="auto"/>
              <w:right w:val="single" w:sz="8" w:space="0" w:color="auto"/>
            </w:tcBorders>
            <w:shd w:val="clear" w:color="auto" w:fill="auto"/>
            <w:vAlign w:val="center"/>
            <w:hideMark/>
          </w:tcPr>
          <w:p w14:paraId="534F7154" w14:textId="77777777" w:rsidR="00810F86" w:rsidRPr="00810F86" w:rsidRDefault="00810F86" w:rsidP="00810F86">
            <w:pPr>
              <w:spacing w:line="240" w:lineRule="auto"/>
              <w:ind w:left="0"/>
              <w:jc w:val="center"/>
              <w:rPr>
                <w:rFonts w:ascii="Times New Roman" w:eastAsia="Times New Roman" w:hAnsi="Times New Roman"/>
                <w:color w:val="000000"/>
              </w:rPr>
            </w:pPr>
            <w:r w:rsidRPr="00810F86">
              <w:rPr>
                <w:rFonts w:ascii="Times New Roman" w:eastAsia="Times New Roman" w:hAnsi="Times New Roman"/>
                <w:color w:val="000000"/>
              </w:rPr>
              <w:t>1</w:t>
            </w:r>
            <w:r w:rsidRPr="00810F86">
              <w:rPr>
                <w:rFonts w:ascii="Times New Roman" w:eastAsia="Times New Roman" w:hAnsi="Times New Roman"/>
                <w:color w:val="000000"/>
              </w:rPr>
              <w:br/>
              <w:t>Poor</w:t>
            </w:r>
          </w:p>
        </w:tc>
        <w:tc>
          <w:tcPr>
            <w:tcW w:w="1960" w:type="dxa"/>
            <w:tcBorders>
              <w:top w:val="nil"/>
              <w:left w:val="nil"/>
              <w:bottom w:val="single" w:sz="4" w:space="0" w:color="auto"/>
              <w:right w:val="single" w:sz="8" w:space="0" w:color="auto"/>
            </w:tcBorders>
            <w:shd w:val="clear" w:color="auto" w:fill="auto"/>
            <w:vAlign w:val="center"/>
            <w:hideMark/>
          </w:tcPr>
          <w:p w14:paraId="29BB8599"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passed its useful life</w:t>
            </w:r>
          </w:p>
        </w:tc>
        <w:tc>
          <w:tcPr>
            <w:tcW w:w="1960" w:type="dxa"/>
            <w:tcBorders>
              <w:top w:val="nil"/>
              <w:left w:val="nil"/>
              <w:bottom w:val="single" w:sz="4" w:space="0" w:color="auto"/>
              <w:right w:val="single" w:sz="8" w:space="0" w:color="auto"/>
            </w:tcBorders>
            <w:shd w:val="clear" w:color="auto" w:fill="auto"/>
            <w:vAlign w:val="center"/>
            <w:hideMark/>
          </w:tcPr>
          <w:p w14:paraId="1A010F82"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Asset in need of replacement or restoration; may have critically damaged components</w:t>
            </w:r>
          </w:p>
        </w:tc>
        <w:tc>
          <w:tcPr>
            <w:tcW w:w="1960" w:type="dxa"/>
            <w:tcBorders>
              <w:top w:val="nil"/>
              <w:left w:val="nil"/>
              <w:bottom w:val="single" w:sz="4" w:space="0" w:color="auto"/>
              <w:right w:val="single" w:sz="8" w:space="0" w:color="auto"/>
            </w:tcBorders>
            <w:shd w:val="clear" w:color="auto" w:fill="auto"/>
            <w:vAlign w:val="center"/>
            <w:hideMark/>
          </w:tcPr>
          <w:p w14:paraId="35BCA84C"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Frequent performance and reliability problems; does not meet industry standards</w:t>
            </w:r>
          </w:p>
        </w:tc>
        <w:tc>
          <w:tcPr>
            <w:tcW w:w="1960" w:type="dxa"/>
            <w:tcBorders>
              <w:top w:val="nil"/>
              <w:left w:val="nil"/>
              <w:bottom w:val="single" w:sz="4" w:space="0" w:color="auto"/>
              <w:right w:val="single" w:sz="4" w:space="0" w:color="auto"/>
            </w:tcBorders>
            <w:shd w:val="clear" w:color="auto" w:fill="auto"/>
            <w:vAlign w:val="center"/>
            <w:hideMark/>
          </w:tcPr>
          <w:p w14:paraId="21913CAF" w14:textId="77777777" w:rsidR="00810F86" w:rsidRPr="00810F86" w:rsidRDefault="00810F86" w:rsidP="00810F86">
            <w:pPr>
              <w:spacing w:line="240" w:lineRule="auto"/>
              <w:ind w:left="0"/>
              <w:jc w:val="center"/>
              <w:rPr>
                <w:rFonts w:ascii="Times New Roman" w:eastAsia="Times New Roman" w:hAnsi="Times New Roman"/>
                <w:color w:val="000000"/>
                <w:sz w:val="20"/>
                <w:szCs w:val="20"/>
              </w:rPr>
            </w:pPr>
            <w:r w:rsidRPr="00810F86">
              <w:rPr>
                <w:rFonts w:ascii="Times New Roman" w:eastAsia="Times New Roman" w:hAnsi="Times New Roman"/>
                <w:color w:val="000000"/>
                <w:sz w:val="20"/>
                <w:szCs w:val="20"/>
              </w:rPr>
              <w:t>Major Component failures or does not pass Coast Guard Certification</w:t>
            </w:r>
          </w:p>
        </w:tc>
      </w:tr>
      <w:tr w:rsidR="00810F86" w:rsidRPr="00810F86" w14:paraId="233CD86A" w14:textId="77777777" w:rsidTr="00810F86">
        <w:trPr>
          <w:trHeight w:val="300"/>
        </w:trPr>
        <w:tc>
          <w:tcPr>
            <w:tcW w:w="1000" w:type="dxa"/>
            <w:tcBorders>
              <w:top w:val="nil"/>
              <w:left w:val="single" w:sz="4" w:space="0" w:color="auto"/>
              <w:bottom w:val="single" w:sz="4" w:space="0" w:color="auto"/>
              <w:right w:val="single" w:sz="8" w:space="0" w:color="auto"/>
            </w:tcBorders>
            <w:shd w:val="clear" w:color="auto" w:fill="auto"/>
            <w:vAlign w:val="center"/>
            <w:hideMark/>
          </w:tcPr>
          <w:p w14:paraId="1AC895F6" w14:textId="77777777" w:rsidR="00810F86" w:rsidRPr="00810F86" w:rsidRDefault="00810F86" w:rsidP="00810F86">
            <w:pPr>
              <w:spacing w:line="240" w:lineRule="auto"/>
              <w:ind w:left="0"/>
              <w:jc w:val="center"/>
              <w:rPr>
                <w:rFonts w:ascii="Times New Roman" w:eastAsia="Times New Roman" w:hAnsi="Times New Roman"/>
                <w:color w:val="000000"/>
              </w:rPr>
            </w:pPr>
            <w:r w:rsidRPr="00810F86">
              <w:rPr>
                <w:rFonts w:ascii="Times New Roman" w:eastAsia="Times New Roman" w:hAnsi="Times New Roman"/>
                <w:color w:val="000000"/>
              </w:rPr>
              <w:t>0</w:t>
            </w:r>
          </w:p>
        </w:tc>
        <w:tc>
          <w:tcPr>
            <w:tcW w:w="7840" w:type="dxa"/>
            <w:gridSpan w:val="4"/>
            <w:tcBorders>
              <w:top w:val="single" w:sz="4" w:space="0" w:color="auto"/>
              <w:left w:val="nil"/>
              <w:bottom w:val="single" w:sz="4" w:space="0" w:color="auto"/>
              <w:right w:val="single" w:sz="4" w:space="0" w:color="000000"/>
            </w:tcBorders>
            <w:shd w:val="clear" w:color="auto" w:fill="auto"/>
            <w:vAlign w:val="center"/>
            <w:hideMark/>
          </w:tcPr>
          <w:p w14:paraId="1C2DC720" w14:textId="77777777" w:rsidR="00810F86" w:rsidRPr="00810F86" w:rsidRDefault="00810F86" w:rsidP="00810F86">
            <w:pPr>
              <w:spacing w:line="240" w:lineRule="auto"/>
              <w:ind w:left="0"/>
              <w:jc w:val="center"/>
              <w:rPr>
                <w:rFonts w:ascii="Times New Roman" w:eastAsia="Times New Roman" w:hAnsi="Times New Roman"/>
                <w:color w:val="000000"/>
              </w:rPr>
            </w:pPr>
            <w:r w:rsidRPr="00810F86">
              <w:rPr>
                <w:rFonts w:ascii="Times New Roman" w:eastAsia="Times New Roman" w:hAnsi="Times New Roman"/>
                <w:color w:val="000000"/>
              </w:rPr>
              <w:t>Asset Non-Operable or Unsafe</w:t>
            </w:r>
          </w:p>
        </w:tc>
      </w:tr>
    </w:tbl>
    <w:p w14:paraId="7F7C5E32" w14:textId="77777777" w:rsidR="00745D40" w:rsidRDefault="00745D40" w:rsidP="00C51EC9">
      <w:pPr>
        <w:pStyle w:val="Heading2"/>
        <w:ind w:left="0"/>
      </w:pPr>
      <w:bookmarkStart w:id="22" w:name="_Toc527365847"/>
    </w:p>
    <w:p w14:paraId="032E3AE3" w14:textId="3CAACCB7" w:rsidR="00B074F8" w:rsidRDefault="005A61E4" w:rsidP="00C51EC9">
      <w:pPr>
        <w:pStyle w:val="Heading2"/>
        <w:ind w:left="0"/>
      </w:pPr>
      <w:r>
        <w:t xml:space="preserve">Decision Support </w:t>
      </w:r>
      <w:r w:rsidR="00B074F8" w:rsidRPr="00845DD7">
        <w:t>Tools</w:t>
      </w:r>
      <w:r w:rsidR="00845DD7" w:rsidRPr="00845DD7">
        <w:t xml:space="preserve"> </w:t>
      </w:r>
      <w:r w:rsidR="005667C5" w:rsidRPr="00845DD7">
        <w:t>by Asset Class</w:t>
      </w:r>
      <w:bookmarkEnd w:id="22"/>
    </w:p>
    <w:p w14:paraId="7CEEE5CD" w14:textId="77777777" w:rsidR="00260360" w:rsidRDefault="00260360" w:rsidP="005A61E4"/>
    <w:p w14:paraId="6130CCDE" w14:textId="7283920F" w:rsidR="0085500E" w:rsidRPr="00512494" w:rsidRDefault="00512494" w:rsidP="0085500E">
      <w:pPr>
        <w:pStyle w:val="BodyText"/>
        <w:spacing w:before="9"/>
        <w:rPr>
          <w:b/>
          <w:sz w:val="24"/>
          <w:szCs w:val="24"/>
          <w:u w:val="single"/>
        </w:rPr>
      </w:pPr>
      <w:r w:rsidRPr="00512494">
        <w:rPr>
          <w:b/>
          <w:sz w:val="24"/>
          <w:szCs w:val="24"/>
          <w:u w:val="single"/>
        </w:rPr>
        <w:t>Land Based Transit Systems</w:t>
      </w:r>
    </w:p>
    <w:p w14:paraId="28304AF9" w14:textId="77777777" w:rsidR="0085500E" w:rsidRDefault="0085500E" w:rsidP="0085500E">
      <w:pPr>
        <w:pStyle w:val="BodyText"/>
        <w:spacing w:before="9"/>
        <w:rPr>
          <w:b/>
          <w:sz w:val="26"/>
        </w:rPr>
      </w:pPr>
    </w:p>
    <w:p w14:paraId="57A6C1F7" w14:textId="77777777" w:rsidR="0085500E" w:rsidRPr="00512494" w:rsidRDefault="0085500E" w:rsidP="0085500E">
      <w:pPr>
        <w:pStyle w:val="BodyText"/>
        <w:spacing w:before="9"/>
        <w:rPr>
          <w:b/>
        </w:rPr>
      </w:pPr>
      <w:r w:rsidRPr="00512494">
        <w:rPr>
          <w:b/>
        </w:rPr>
        <w:t>Rolling Stock and Non-Revenue Vehicles</w:t>
      </w:r>
    </w:p>
    <w:p w14:paraId="336BF4A7" w14:textId="77777777" w:rsidR="0085500E" w:rsidRPr="00B2106C" w:rsidRDefault="0085500E" w:rsidP="0085500E">
      <w:pPr>
        <w:pStyle w:val="BodyText"/>
        <w:spacing w:before="9"/>
        <w:rPr>
          <w:b/>
          <w:sz w:val="24"/>
          <w:szCs w:val="24"/>
        </w:rPr>
      </w:pPr>
    </w:p>
    <w:p w14:paraId="4F956EED" w14:textId="5B70DACD" w:rsidR="0085500E" w:rsidRDefault="0085500E" w:rsidP="000A1667">
      <w:pPr>
        <w:pStyle w:val="BodyText"/>
        <w:spacing w:line="264" w:lineRule="auto"/>
        <w:ind w:right="376"/>
      </w:pPr>
      <w:r>
        <w:t xml:space="preserve">In an effort to determine the State of Good Repair (SGR) that truly reflects the condition of the asset, MaineDOT uses a three-factor analysis to determine SGR for rolling stock and equipment (non-revenue vehicles). The factors include useful life, useful mileage and condition assessment. Each factor uses a 1-5 scale and </w:t>
      </w:r>
      <w:r w:rsidR="003A5A28">
        <w:t xml:space="preserve">uses </w:t>
      </w:r>
      <w:r>
        <w:t xml:space="preserve">the useful life and miles taken from Table </w:t>
      </w:r>
      <w:r w:rsidR="00FD5C0A">
        <w:t>1</w:t>
      </w:r>
      <w:r>
        <w:t xml:space="preserve"> in the beginning of this plan. Taking an average of the three factors allows MaineDOT to identify </w:t>
      </w:r>
      <w:r>
        <w:lastRenderedPageBreak/>
        <w:t xml:space="preserve">rolling stock or equipment that may </w:t>
      </w:r>
      <w:r w:rsidR="00FD5C0A">
        <w:t>not have</w:t>
      </w:r>
      <w:r>
        <w:t xml:space="preserve"> met its useful life</w:t>
      </w:r>
      <w:r w:rsidR="007D4FDB">
        <w:t>,</w:t>
      </w:r>
      <w:r>
        <w:t xml:space="preserve"> but due to extremely high mileage or adverse operating conditions may not be fit for its intended purpose. Conversely, a vehicle exceeding its useful life may have low mileage and is in good condition and is fit for its intended</w:t>
      </w:r>
      <w:r>
        <w:rPr>
          <w:spacing w:val="-21"/>
        </w:rPr>
        <w:t xml:space="preserve"> </w:t>
      </w:r>
      <w:r>
        <w:t>purpose.</w:t>
      </w:r>
    </w:p>
    <w:p w14:paraId="32CD6625" w14:textId="77777777" w:rsidR="0085500E" w:rsidRPr="007E6F80" w:rsidRDefault="0085500E" w:rsidP="000A1667">
      <w:pPr>
        <w:pStyle w:val="BodyText"/>
        <w:spacing w:before="1"/>
      </w:pPr>
    </w:p>
    <w:p w14:paraId="0CD47070" w14:textId="3A354EF0" w:rsidR="0085500E" w:rsidRDefault="0085500E" w:rsidP="000A1667">
      <w:pPr>
        <w:pStyle w:val="BodyText"/>
        <w:spacing w:line="264" w:lineRule="auto"/>
        <w:ind w:right="567"/>
      </w:pPr>
      <w:r>
        <w:t xml:space="preserve">In consultation with our subrecipients, MaineDOT uses the three-factor analysis on each asset in Rolling Stock and Equipment resulting in an average which is then used in determining replacement priority. Repair costs and other relevant factors may be considered in </w:t>
      </w:r>
      <w:r w:rsidRPr="000B7692">
        <w:t>determining priorities. The analysis is summarized by each sub</w:t>
      </w:r>
      <w:r w:rsidR="00FD5C0A" w:rsidRPr="000B7692">
        <w:t>-</w:t>
      </w:r>
      <w:r w:rsidRPr="000B7692">
        <w:t xml:space="preserve">class and is listed below in Tables </w:t>
      </w:r>
      <w:r w:rsidR="00880998" w:rsidRPr="000B7692">
        <w:t>1</w:t>
      </w:r>
      <w:r w:rsidR="00451AA0" w:rsidRPr="000B7692">
        <w:t>3</w:t>
      </w:r>
      <w:r w:rsidRPr="000B7692">
        <w:t>-1</w:t>
      </w:r>
      <w:r w:rsidR="00C80813" w:rsidRPr="000B7692">
        <w:t>8</w:t>
      </w:r>
      <w:r w:rsidRPr="000B7692">
        <w:t>. Each</w:t>
      </w:r>
      <w:r>
        <w:t xml:space="preserve"> sub-class is summarized</w:t>
      </w:r>
      <w:r w:rsidR="00802E48">
        <w:t>.</w:t>
      </w:r>
    </w:p>
    <w:p w14:paraId="5F2BB5EC" w14:textId="77777777" w:rsidR="00B775E0" w:rsidRDefault="00B775E0" w:rsidP="00B074F8">
      <w:pPr>
        <w:rPr>
          <w:b/>
        </w:rPr>
      </w:pPr>
    </w:p>
    <w:p w14:paraId="607E86AF" w14:textId="450DBDB6" w:rsidR="00B775E0" w:rsidRDefault="00DF4579" w:rsidP="00DF4579">
      <w:pPr>
        <w:ind w:left="0"/>
        <w:rPr>
          <w:b/>
        </w:rPr>
      </w:pPr>
      <w:r>
        <w:rPr>
          <w:b/>
        </w:rPr>
        <w:t>Table 13 Fleet Summary VAN</w:t>
      </w:r>
    </w:p>
    <w:p w14:paraId="3B33DA7D" w14:textId="4F51D26A" w:rsidR="00DF4579" w:rsidRDefault="00DF4579" w:rsidP="00DF4579">
      <w:pPr>
        <w:ind w:left="0"/>
        <w:rPr>
          <w:b/>
        </w:rPr>
      </w:pPr>
    </w:p>
    <w:p w14:paraId="110200A8" w14:textId="199A9A43" w:rsidR="00DF4579" w:rsidRDefault="00B1775C" w:rsidP="00DF4579">
      <w:pPr>
        <w:ind w:left="0"/>
        <w:rPr>
          <w:bCs/>
        </w:rPr>
      </w:pPr>
      <w:r>
        <w:rPr>
          <w:bCs/>
        </w:rPr>
        <w:t xml:space="preserve">Subrecipients have 114 vans </w:t>
      </w:r>
      <w:r w:rsidR="00D41F43">
        <w:rPr>
          <w:bCs/>
        </w:rPr>
        <w:t>and minivans (4 years or 100,000 miles</w:t>
      </w:r>
      <w:r>
        <w:rPr>
          <w:bCs/>
        </w:rPr>
        <w:t>) during the 2021 reporting period.  Of these vans, there are 3</w:t>
      </w:r>
      <w:r w:rsidR="00102C67">
        <w:rPr>
          <w:bCs/>
        </w:rPr>
        <w:t>2</w:t>
      </w:r>
      <w:r w:rsidR="00B2619A">
        <w:rPr>
          <w:bCs/>
        </w:rPr>
        <w:t xml:space="preserve"> </w:t>
      </w:r>
      <w:r>
        <w:rPr>
          <w:bCs/>
        </w:rPr>
        <w:t>vans (or 2</w:t>
      </w:r>
      <w:r w:rsidR="00102C67">
        <w:rPr>
          <w:bCs/>
        </w:rPr>
        <w:t>8</w:t>
      </w:r>
      <w:r>
        <w:rPr>
          <w:bCs/>
        </w:rPr>
        <w:t xml:space="preserve">%) </w:t>
      </w:r>
      <w:r w:rsidR="00D41F43">
        <w:rPr>
          <w:bCs/>
        </w:rPr>
        <w:t xml:space="preserve">that </w:t>
      </w:r>
      <w:r>
        <w:rPr>
          <w:bCs/>
        </w:rPr>
        <w:t>have a state of good repair ranking of less than 2.0 using the three-factor condition assessment</w:t>
      </w:r>
      <w:r w:rsidR="00D41F43">
        <w:rPr>
          <w:bCs/>
        </w:rPr>
        <w:t xml:space="preserve"> and are a priority to be replaced</w:t>
      </w:r>
      <w:r>
        <w:rPr>
          <w:bCs/>
        </w:rPr>
        <w:t>. (See Table 13).</w:t>
      </w:r>
    </w:p>
    <w:p w14:paraId="2565E009" w14:textId="50508C1A" w:rsidR="00D41F43" w:rsidRDefault="00D41F43" w:rsidP="00DF4579">
      <w:pPr>
        <w:ind w:left="0"/>
        <w:rPr>
          <w:bCs/>
        </w:rPr>
      </w:pPr>
    </w:p>
    <w:p w14:paraId="3D1BA6F0" w14:textId="2A59DD2A" w:rsidR="00D41F43" w:rsidRDefault="00D41F43" w:rsidP="00DF4579">
      <w:pPr>
        <w:ind w:left="0"/>
        <w:rPr>
          <w:bCs/>
        </w:rPr>
      </w:pPr>
      <w:r>
        <w:rPr>
          <w:b/>
        </w:rPr>
        <w:t>Table 14 Fleet Summary LDB</w:t>
      </w:r>
    </w:p>
    <w:p w14:paraId="548652F9" w14:textId="4029F592" w:rsidR="00D41F43" w:rsidRDefault="00D41F43" w:rsidP="00DF4579">
      <w:pPr>
        <w:ind w:left="0"/>
        <w:rPr>
          <w:bCs/>
        </w:rPr>
      </w:pPr>
    </w:p>
    <w:p w14:paraId="189B531E" w14:textId="540076EF" w:rsidR="00D41F43" w:rsidRDefault="00D41F43" w:rsidP="00D41F43">
      <w:pPr>
        <w:ind w:left="0"/>
        <w:rPr>
          <w:bCs/>
        </w:rPr>
      </w:pPr>
      <w:r>
        <w:rPr>
          <w:bCs/>
        </w:rPr>
        <w:t>Subrecipients have 109 light duty bus (5 years or 150,000 miles) during the 2021 reporting period.  Of these cutaways, there are 5 cutaways (or 5%) that have a state of good repair ranking of less than 2.0 using the three-factor condition assessment and are a priority to be replaced. (See Table 14).</w:t>
      </w:r>
    </w:p>
    <w:p w14:paraId="30DF8299" w14:textId="09A1F4E9" w:rsidR="00D41F43" w:rsidRDefault="00D41F43" w:rsidP="00D41F43">
      <w:pPr>
        <w:ind w:left="0"/>
        <w:rPr>
          <w:bCs/>
        </w:rPr>
      </w:pPr>
    </w:p>
    <w:p w14:paraId="253D5381" w14:textId="0383BDFB" w:rsidR="00D41F43" w:rsidRDefault="00D41F43" w:rsidP="00D41F43">
      <w:pPr>
        <w:ind w:left="0"/>
        <w:rPr>
          <w:b/>
        </w:rPr>
      </w:pPr>
      <w:r>
        <w:rPr>
          <w:b/>
        </w:rPr>
        <w:t>Table 15 Fleet Summary SMDB</w:t>
      </w:r>
    </w:p>
    <w:p w14:paraId="701BE61A" w14:textId="79575BD1" w:rsidR="00D41F43" w:rsidRDefault="00D41F43" w:rsidP="00D41F43">
      <w:pPr>
        <w:ind w:left="0"/>
        <w:rPr>
          <w:bCs/>
        </w:rPr>
      </w:pPr>
    </w:p>
    <w:p w14:paraId="768BD71F" w14:textId="4D653859" w:rsidR="00D41F43" w:rsidRDefault="00D41F43" w:rsidP="00D41F43">
      <w:pPr>
        <w:ind w:left="0"/>
        <w:rPr>
          <w:bCs/>
        </w:rPr>
      </w:pPr>
      <w:r>
        <w:rPr>
          <w:bCs/>
        </w:rPr>
        <w:t xml:space="preserve">Subrecipients have 78 small medium duty buses (7 years or 200,000 miles) during the 2021 reporting period.  Of these </w:t>
      </w:r>
      <w:r w:rsidR="00F17299">
        <w:rPr>
          <w:bCs/>
        </w:rPr>
        <w:t>buses</w:t>
      </w:r>
      <w:r>
        <w:rPr>
          <w:bCs/>
        </w:rPr>
        <w:t xml:space="preserve">, there are </w:t>
      </w:r>
      <w:r w:rsidR="00F17299">
        <w:rPr>
          <w:bCs/>
        </w:rPr>
        <w:t>2</w:t>
      </w:r>
      <w:r w:rsidR="00102C67">
        <w:rPr>
          <w:bCs/>
        </w:rPr>
        <w:t>2</w:t>
      </w:r>
      <w:r>
        <w:rPr>
          <w:bCs/>
        </w:rPr>
        <w:t xml:space="preserve"> buses (or </w:t>
      </w:r>
      <w:r w:rsidR="00F17299">
        <w:rPr>
          <w:bCs/>
        </w:rPr>
        <w:t>2</w:t>
      </w:r>
      <w:r w:rsidR="00102C67">
        <w:rPr>
          <w:bCs/>
        </w:rPr>
        <w:t>8</w:t>
      </w:r>
      <w:r>
        <w:rPr>
          <w:bCs/>
        </w:rPr>
        <w:t>%) that have a state of good repair ranking of less than 2.0 using the three-factor condition assessment and are a priority to be replaced. (See Table 15).</w:t>
      </w:r>
    </w:p>
    <w:p w14:paraId="0C86CE79" w14:textId="2AABA49E" w:rsidR="00F17299" w:rsidRDefault="00F17299" w:rsidP="00D41F43">
      <w:pPr>
        <w:ind w:left="0"/>
        <w:rPr>
          <w:bCs/>
        </w:rPr>
      </w:pPr>
    </w:p>
    <w:p w14:paraId="15D6FEC5" w14:textId="2B99A5F4" w:rsidR="00F17299" w:rsidRDefault="00F17299" w:rsidP="00D41F43">
      <w:pPr>
        <w:ind w:left="0"/>
        <w:rPr>
          <w:b/>
        </w:rPr>
      </w:pPr>
      <w:r>
        <w:rPr>
          <w:b/>
        </w:rPr>
        <w:t>Table 16 Fleet Summary MHDB</w:t>
      </w:r>
    </w:p>
    <w:p w14:paraId="40804D05" w14:textId="77777777" w:rsidR="00F17299" w:rsidRPr="00F17299" w:rsidRDefault="00F17299" w:rsidP="00D41F43">
      <w:pPr>
        <w:ind w:left="0"/>
        <w:rPr>
          <w:b/>
        </w:rPr>
      </w:pPr>
    </w:p>
    <w:p w14:paraId="42D55A8D" w14:textId="6960A2E1" w:rsidR="00F17299" w:rsidRDefault="00F17299" w:rsidP="00F17299">
      <w:pPr>
        <w:ind w:left="0"/>
        <w:rPr>
          <w:bCs/>
        </w:rPr>
      </w:pPr>
      <w:r>
        <w:rPr>
          <w:bCs/>
        </w:rPr>
        <w:t xml:space="preserve">Subrecipients have 30 medium </w:t>
      </w:r>
      <w:r w:rsidR="00CC09AD">
        <w:rPr>
          <w:bCs/>
        </w:rPr>
        <w:t>heavy-duty</w:t>
      </w:r>
      <w:r>
        <w:rPr>
          <w:bCs/>
        </w:rPr>
        <w:t xml:space="preserve"> buses (10 years or 350,000 miles) during the 2021 reporting period.  Of these buses, there are no buses that have a state of good repair ranking of less than 2.0 using the three-factor condition assessment.</w:t>
      </w:r>
      <w:r w:rsidR="008E4B13">
        <w:rPr>
          <w:bCs/>
        </w:rPr>
        <w:t xml:space="preserve">  Therefore, no data generated for this revision of the report.</w:t>
      </w:r>
    </w:p>
    <w:p w14:paraId="24BEB716" w14:textId="1C00E33F" w:rsidR="00D41F43" w:rsidRPr="007F76D3" w:rsidRDefault="00D41F43" w:rsidP="00DF4579">
      <w:pPr>
        <w:ind w:left="0"/>
        <w:rPr>
          <w:bCs/>
        </w:rPr>
      </w:pPr>
    </w:p>
    <w:p w14:paraId="28447D0D" w14:textId="77777777" w:rsidR="00F17299" w:rsidRDefault="00F17299" w:rsidP="007F76D3">
      <w:pPr>
        <w:ind w:left="0"/>
        <w:rPr>
          <w:b/>
        </w:rPr>
      </w:pPr>
      <w:r>
        <w:rPr>
          <w:b/>
        </w:rPr>
        <w:t>Table 17 Fleet Summary SHDB</w:t>
      </w:r>
    </w:p>
    <w:p w14:paraId="7045590D" w14:textId="0BD56974" w:rsidR="00B775E0" w:rsidRDefault="00B775E0" w:rsidP="00F17299">
      <w:pPr>
        <w:ind w:left="0"/>
        <w:rPr>
          <w:b/>
        </w:rPr>
      </w:pPr>
    </w:p>
    <w:p w14:paraId="66324DD7" w14:textId="00873F68" w:rsidR="008E4B13" w:rsidRDefault="00F17299" w:rsidP="008E4B13">
      <w:pPr>
        <w:ind w:left="0"/>
        <w:rPr>
          <w:bCs/>
        </w:rPr>
      </w:pPr>
      <w:r>
        <w:rPr>
          <w:bCs/>
        </w:rPr>
        <w:t xml:space="preserve">Subrecipients have 2 standard </w:t>
      </w:r>
      <w:r w:rsidR="00CC09AD">
        <w:rPr>
          <w:bCs/>
        </w:rPr>
        <w:t>heavy-duty</w:t>
      </w:r>
      <w:r>
        <w:rPr>
          <w:bCs/>
        </w:rPr>
        <w:t xml:space="preserve"> buses (12 years or 500,000 miles) during the 2021 reporting period.  Of these buses, there are no buses that have a state of good repair ranking of less than 2.0 using the three-factor condition assessment.</w:t>
      </w:r>
      <w:r w:rsidR="008E4B13" w:rsidRPr="008E4B13">
        <w:rPr>
          <w:bCs/>
        </w:rPr>
        <w:t xml:space="preserve"> </w:t>
      </w:r>
      <w:r w:rsidR="008E4B13">
        <w:rPr>
          <w:bCs/>
        </w:rPr>
        <w:t>Therefore, no data generated for this revision of the report.</w:t>
      </w:r>
    </w:p>
    <w:p w14:paraId="01F5C371" w14:textId="77777777" w:rsidR="00F17299" w:rsidRPr="00EE1B4D" w:rsidRDefault="00F17299" w:rsidP="00F17299">
      <w:pPr>
        <w:ind w:left="0"/>
        <w:rPr>
          <w:bCs/>
        </w:rPr>
      </w:pPr>
    </w:p>
    <w:p w14:paraId="4E40DF0F" w14:textId="3248B5F2" w:rsidR="00D9458E" w:rsidRDefault="00D9458E" w:rsidP="00D9458E">
      <w:pPr>
        <w:ind w:left="0"/>
        <w:rPr>
          <w:b/>
        </w:rPr>
      </w:pPr>
      <w:r w:rsidRPr="00E11DF6">
        <w:rPr>
          <w:b/>
        </w:rPr>
        <w:t>Table 1</w:t>
      </w:r>
      <w:r w:rsidR="0046406F">
        <w:rPr>
          <w:b/>
        </w:rPr>
        <w:t>8</w:t>
      </w:r>
      <w:r w:rsidRPr="00E11DF6">
        <w:rPr>
          <w:b/>
        </w:rPr>
        <w:t xml:space="preserve"> – Equipment – Non-Revenue Vehicles (NRV) </w:t>
      </w:r>
    </w:p>
    <w:p w14:paraId="63FE9300" w14:textId="77777777" w:rsidR="00D9458E" w:rsidRDefault="00D9458E" w:rsidP="00D9458E">
      <w:pPr>
        <w:ind w:left="0"/>
        <w:rPr>
          <w:b/>
        </w:rPr>
      </w:pPr>
    </w:p>
    <w:p w14:paraId="7D7B5B7A" w14:textId="6B2C5E8D" w:rsidR="00D9458E" w:rsidRDefault="00D9458E" w:rsidP="00D9458E">
      <w:pPr>
        <w:ind w:left="0"/>
        <w:rPr>
          <w:bCs/>
        </w:rPr>
      </w:pPr>
      <w:r>
        <w:rPr>
          <w:bCs/>
        </w:rPr>
        <w:t>Subrecipients have 5 non-revenue vehicles during the 2021 reporting period.  Of these non-revenue vehicles, there are 2 of these vehicles (or 40%) have a state of good repair ranking of less than 2.0 using the three-factor condition assessment and are a priority to be replaced. (See Table 1</w:t>
      </w:r>
      <w:r w:rsidR="00DD1D44">
        <w:rPr>
          <w:bCs/>
        </w:rPr>
        <w:t>8</w:t>
      </w:r>
      <w:r>
        <w:rPr>
          <w:bCs/>
        </w:rPr>
        <w:t>).</w:t>
      </w:r>
    </w:p>
    <w:p w14:paraId="498E5E87" w14:textId="75CD448B" w:rsidR="0046406F" w:rsidRDefault="0046406F" w:rsidP="00D9458E">
      <w:pPr>
        <w:ind w:left="0"/>
        <w:rPr>
          <w:bCs/>
        </w:rPr>
      </w:pPr>
    </w:p>
    <w:p w14:paraId="5ECB9117" w14:textId="197F4FA8" w:rsidR="0046406F" w:rsidRDefault="0046406F" w:rsidP="00D9458E">
      <w:pPr>
        <w:ind w:left="0"/>
        <w:rPr>
          <w:bCs/>
        </w:rPr>
      </w:pPr>
      <w:r>
        <w:rPr>
          <w:bCs/>
        </w:rPr>
        <w:t>WATER-BASED TRANSIT SYSTEMS</w:t>
      </w:r>
    </w:p>
    <w:p w14:paraId="441FB0F4" w14:textId="46D9F03E" w:rsidR="0046406F" w:rsidRDefault="0046406F" w:rsidP="00D9458E">
      <w:pPr>
        <w:ind w:left="0"/>
        <w:rPr>
          <w:bCs/>
        </w:rPr>
      </w:pPr>
    </w:p>
    <w:p w14:paraId="53E218E9" w14:textId="5BC4AC82" w:rsidR="0046406F" w:rsidRDefault="0046406F" w:rsidP="0046406F">
      <w:pPr>
        <w:pStyle w:val="BodyText"/>
        <w:spacing w:line="264" w:lineRule="auto"/>
        <w:ind w:right="376"/>
      </w:pPr>
      <w:r>
        <w:t xml:space="preserve">In an effort to determine the State of Good Repair (SGR) that truly reflects the condition of the asset, MaineDOT uses a two-factor analysis to determine SGR for rolling stock (ferries) and equipment (rescue boats). The factors include useful life and condition assessment. Each factor uses a 1-5 scale and uses the useful life taken from Table 1 in the beginning of this plan. </w:t>
      </w:r>
    </w:p>
    <w:p w14:paraId="23E2924A" w14:textId="77777777" w:rsidR="0046406F" w:rsidRPr="007E6F80" w:rsidRDefault="0046406F" w:rsidP="0046406F">
      <w:pPr>
        <w:pStyle w:val="BodyText"/>
        <w:spacing w:before="1"/>
      </w:pPr>
    </w:p>
    <w:p w14:paraId="4612ED16" w14:textId="68530F4E" w:rsidR="0046406F" w:rsidRDefault="0046406F" w:rsidP="0046406F">
      <w:pPr>
        <w:pStyle w:val="BodyText"/>
        <w:spacing w:line="264" w:lineRule="auto"/>
        <w:ind w:right="567"/>
      </w:pPr>
      <w:r>
        <w:t xml:space="preserve">MaineDOT uses the two-factor analysis on each asset in Rolling Stock and Equipment resulting in an average which is then used in determining replacement priority. </w:t>
      </w:r>
      <w:r w:rsidR="00547CD0">
        <w:t xml:space="preserve"> </w:t>
      </w:r>
      <w:r>
        <w:t xml:space="preserve">The analysis is summarized by each </w:t>
      </w:r>
      <w:r w:rsidRPr="000B7692">
        <w:t>sub-class and is listed below in Tables 19.</w:t>
      </w:r>
      <w:r>
        <w:t xml:space="preserve"> Each sub-class is summarized.</w:t>
      </w:r>
    </w:p>
    <w:p w14:paraId="31E25BA2" w14:textId="13D2B15C" w:rsidR="0046406F" w:rsidRDefault="0046406F" w:rsidP="00D9458E">
      <w:pPr>
        <w:ind w:left="0"/>
        <w:rPr>
          <w:bCs/>
        </w:rPr>
      </w:pPr>
    </w:p>
    <w:p w14:paraId="76377B0E" w14:textId="77777777" w:rsidR="0046406F" w:rsidRPr="007C6098" w:rsidRDefault="0046406F" w:rsidP="0046406F">
      <w:pPr>
        <w:ind w:left="0"/>
        <w:rPr>
          <w:b/>
        </w:rPr>
      </w:pPr>
      <w:r w:rsidRPr="007C6098">
        <w:rPr>
          <w:b/>
        </w:rPr>
        <w:t>Table 1</w:t>
      </w:r>
      <w:r>
        <w:rPr>
          <w:b/>
        </w:rPr>
        <w:t xml:space="preserve">9 </w:t>
      </w:r>
      <w:r w:rsidRPr="007C6098">
        <w:rPr>
          <w:b/>
        </w:rPr>
        <w:t>Fleet Summary Ferry</w:t>
      </w:r>
    </w:p>
    <w:p w14:paraId="4978B183" w14:textId="77777777" w:rsidR="0046406F" w:rsidRDefault="0046406F" w:rsidP="0046406F">
      <w:pPr>
        <w:ind w:left="0"/>
        <w:rPr>
          <w:b/>
        </w:rPr>
      </w:pPr>
    </w:p>
    <w:p w14:paraId="363EB7F2" w14:textId="1D023BF4" w:rsidR="0046406F" w:rsidRDefault="00457C6A" w:rsidP="0046406F">
      <w:pPr>
        <w:ind w:left="0"/>
        <w:rPr>
          <w:bCs/>
        </w:rPr>
      </w:pPr>
      <w:r>
        <w:rPr>
          <w:bCs/>
        </w:rPr>
        <w:t xml:space="preserve">One </w:t>
      </w:r>
      <w:r w:rsidR="0046406F">
        <w:rPr>
          <w:bCs/>
        </w:rPr>
        <w:t>Subrecipient ha</w:t>
      </w:r>
      <w:r>
        <w:rPr>
          <w:bCs/>
        </w:rPr>
        <w:t>s</w:t>
      </w:r>
      <w:r w:rsidR="0046406F">
        <w:rPr>
          <w:bCs/>
        </w:rPr>
        <w:t xml:space="preserve"> 2 ferries (50 years) and Maine State Ferry Service has 7 ferries (30 years) during the 2021 reporting period.  Of these</w:t>
      </w:r>
      <w:r w:rsidR="00114423">
        <w:rPr>
          <w:bCs/>
        </w:rPr>
        <w:t xml:space="preserve"> </w:t>
      </w:r>
      <w:r w:rsidR="0046406F">
        <w:rPr>
          <w:bCs/>
        </w:rPr>
        <w:t xml:space="preserve">ferries, </w:t>
      </w:r>
      <w:r w:rsidR="0046406F" w:rsidRPr="006E2614">
        <w:rPr>
          <w:bCs/>
        </w:rPr>
        <w:t xml:space="preserve">there </w:t>
      </w:r>
      <w:r w:rsidR="0046406F" w:rsidRPr="0055009F">
        <w:rPr>
          <w:bCs/>
        </w:rPr>
        <w:t>is 1 ferry</w:t>
      </w:r>
      <w:r w:rsidR="0046406F" w:rsidRPr="006E2614">
        <w:rPr>
          <w:bCs/>
        </w:rPr>
        <w:t xml:space="preserve"> (or </w:t>
      </w:r>
      <w:r w:rsidR="0046406F" w:rsidRPr="0055009F">
        <w:rPr>
          <w:bCs/>
        </w:rPr>
        <w:t>11</w:t>
      </w:r>
      <w:r w:rsidR="0046406F" w:rsidRPr="006E2614">
        <w:rPr>
          <w:bCs/>
        </w:rPr>
        <w:t>%) that ha</w:t>
      </w:r>
      <w:r w:rsidR="0046406F">
        <w:rPr>
          <w:bCs/>
        </w:rPr>
        <w:t>ve a state of good repair ranking of less than 2.0.  (See Table 1</w:t>
      </w:r>
      <w:r w:rsidR="00114423">
        <w:rPr>
          <w:bCs/>
        </w:rPr>
        <w:t>9</w:t>
      </w:r>
      <w:r w:rsidR="0046406F">
        <w:rPr>
          <w:bCs/>
        </w:rPr>
        <w:t>).</w:t>
      </w:r>
    </w:p>
    <w:p w14:paraId="1F239216" w14:textId="77777777" w:rsidR="0046406F" w:rsidRDefault="0046406F" w:rsidP="0046406F">
      <w:pPr>
        <w:ind w:left="0"/>
        <w:rPr>
          <w:bCs/>
        </w:rPr>
      </w:pPr>
    </w:p>
    <w:p w14:paraId="5D29D2C4" w14:textId="5E908545" w:rsidR="007B7161" w:rsidRDefault="007B7161" w:rsidP="00D9458E">
      <w:pPr>
        <w:ind w:left="0"/>
        <w:rPr>
          <w:bCs/>
        </w:rPr>
      </w:pPr>
      <w:r>
        <w:rPr>
          <w:bCs/>
        </w:rPr>
        <w:t>Maine State Ferry Service has 6</w:t>
      </w:r>
      <w:r w:rsidR="00A81F91">
        <w:rPr>
          <w:bCs/>
        </w:rPr>
        <w:t xml:space="preserve"> rescue boats that are classified as Equipment under Service – Truck and Other Rubber Tire category</w:t>
      </w:r>
      <w:r w:rsidR="0017632A">
        <w:rPr>
          <w:bCs/>
        </w:rPr>
        <w:t xml:space="preserve"> for NTD purposes</w:t>
      </w:r>
      <w:r w:rsidR="00A81F91">
        <w:rPr>
          <w:bCs/>
        </w:rPr>
        <w:t>.</w:t>
      </w:r>
      <w:r w:rsidR="00114423">
        <w:rPr>
          <w:bCs/>
        </w:rPr>
        <w:t xml:space="preserve">  None of these rescue boats have a state o</w:t>
      </w:r>
      <w:r w:rsidR="00CB7668">
        <w:rPr>
          <w:bCs/>
        </w:rPr>
        <w:t>f</w:t>
      </w:r>
      <w:r w:rsidR="00114423">
        <w:rPr>
          <w:bCs/>
        </w:rPr>
        <w:t xml:space="preserve"> good repair ranking of less than 2.0 using the two-factor condition assessment</w:t>
      </w:r>
      <w:r w:rsidR="0017632A">
        <w:rPr>
          <w:bCs/>
        </w:rPr>
        <w:t>.</w:t>
      </w:r>
      <w:r w:rsidR="00114423">
        <w:rPr>
          <w:bCs/>
        </w:rPr>
        <w:t xml:space="preserve"> </w:t>
      </w:r>
    </w:p>
    <w:p w14:paraId="11AD7459" w14:textId="72779EFE" w:rsidR="00D9458E" w:rsidRDefault="00D9458E" w:rsidP="007F76D3">
      <w:pPr>
        <w:ind w:left="0"/>
      </w:pPr>
    </w:p>
    <w:p w14:paraId="1C5B7300" w14:textId="77777777" w:rsidR="00DD1D44" w:rsidRDefault="00DD1D44" w:rsidP="007F76D3">
      <w:pPr>
        <w:ind w:left="0"/>
        <w:rPr>
          <w:b/>
          <w:bCs/>
          <w:sz w:val="24"/>
          <w:szCs w:val="24"/>
        </w:rPr>
      </w:pPr>
    </w:p>
    <w:p w14:paraId="14A3456D" w14:textId="17CFDCEF" w:rsidR="00422253" w:rsidRDefault="00422253" w:rsidP="00422253">
      <w:pPr>
        <w:rPr>
          <w:b/>
          <w:bCs/>
          <w:sz w:val="24"/>
          <w:szCs w:val="24"/>
        </w:rPr>
      </w:pPr>
      <w:r>
        <w:rPr>
          <w:b/>
          <w:bCs/>
          <w:sz w:val="24"/>
          <w:szCs w:val="24"/>
        </w:rPr>
        <w:t>Facility SGR Rating Process</w:t>
      </w:r>
    </w:p>
    <w:p w14:paraId="15D0C28C" w14:textId="75941831" w:rsidR="00422253" w:rsidRDefault="00422253" w:rsidP="00422253">
      <w:r>
        <w:t>In determining the State of Good Repair (SGR) for Facilities, MaineDOT combines the Con</w:t>
      </w:r>
      <w:r w:rsidR="001F792C">
        <w:t xml:space="preserve">dition Assessment Score (see Table 10 above) </w:t>
      </w:r>
      <w:r>
        <w:t xml:space="preserve">with a rating of its Useful Life in Years. The two factors are equally rated and averaged to determine a composite SGR rating.  </w:t>
      </w:r>
    </w:p>
    <w:p w14:paraId="670641C4" w14:textId="6FBC77BB" w:rsidR="00422253" w:rsidRDefault="00422253" w:rsidP="00422253"/>
    <w:p w14:paraId="7F0A236E" w14:textId="77777777" w:rsidR="000079A4" w:rsidRDefault="000E7C62" w:rsidP="00E13F26">
      <w:r>
        <w:t>The Land-</w:t>
      </w:r>
      <w:r w:rsidR="00422253">
        <w:t>Based</w:t>
      </w:r>
      <w:r>
        <w:t xml:space="preserve"> </w:t>
      </w:r>
      <w:r w:rsidR="00422253">
        <w:t xml:space="preserve">Facility </w:t>
      </w:r>
      <w:r>
        <w:t>Useful Life Rating S</w:t>
      </w:r>
      <w:r w:rsidR="00422253">
        <w:t>cale (below) shows the formula MaineDOT uses to determine, on a scale of 1-5, the useful life of a facility based on a 40-year useful life.</w:t>
      </w:r>
    </w:p>
    <w:p w14:paraId="29D5E86C" w14:textId="77777777" w:rsidR="000079A4" w:rsidRDefault="000079A4" w:rsidP="00E13F26"/>
    <w:p w14:paraId="15D268EB" w14:textId="73342162" w:rsidR="000079A4" w:rsidRDefault="00504BAA" w:rsidP="00E13F26">
      <w:r w:rsidRPr="00504BAA">
        <w:rPr>
          <w:noProof/>
        </w:rPr>
        <w:drawing>
          <wp:inline distT="0" distB="0" distL="0" distR="0" wp14:anchorId="6C10C47D" wp14:editId="6951DC55">
            <wp:extent cx="3084830" cy="1208405"/>
            <wp:effectExtent l="0" t="0" r="1270" b="0"/>
            <wp:docPr id="2" name="Picture 2" descr="Land Based Facility Useful Life Ratin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nd Based Facility Useful Life Rating Sca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4830" cy="1208405"/>
                    </a:xfrm>
                    <a:prstGeom prst="rect">
                      <a:avLst/>
                    </a:prstGeom>
                    <a:noFill/>
                    <a:ln>
                      <a:noFill/>
                    </a:ln>
                  </pic:spPr>
                </pic:pic>
              </a:graphicData>
            </a:graphic>
          </wp:inline>
        </w:drawing>
      </w:r>
    </w:p>
    <w:p w14:paraId="6ED6DE8E" w14:textId="77777777" w:rsidR="00504BAA" w:rsidRDefault="00504BAA" w:rsidP="00E13F26"/>
    <w:p w14:paraId="08575254" w14:textId="7845EB94" w:rsidR="001C4974" w:rsidRDefault="001C4974" w:rsidP="00E13F26"/>
    <w:p w14:paraId="5A657586" w14:textId="77777777" w:rsidR="00446631" w:rsidRDefault="00446631" w:rsidP="00E13F26"/>
    <w:p w14:paraId="66744764" w14:textId="7934E0AF" w:rsidR="001C4974" w:rsidRDefault="001C4974" w:rsidP="00E13F26">
      <w:r>
        <w:t xml:space="preserve">In 2018, MaineDOT entered into Metropolitan Planning Agreements for Cooperative, Comprehensive and Continuing Transportation Planning and Programing.  </w:t>
      </w:r>
      <w:r w:rsidR="00446631">
        <w:t>These Agreements remain in effect unless and until the time it is superseded by Amendment or Termination.  MaineDOT develops SGR targets each year</w:t>
      </w:r>
      <w:r w:rsidR="00CC29B5">
        <w:t xml:space="preserve"> as a resource</w:t>
      </w:r>
      <w:r w:rsidR="00446631">
        <w:t xml:space="preserve"> that </w:t>
      </w:r>
      <w:r w:rsidR="00CC29B5">
        <w:t>is</w:t>
      </w:r>
      <w:r w:rsidR="00446631">
        <w:t xml:space="preserve"> </w:t>
      </w:r>
      <w:r w:rsidR="001E35A4">
        <w:t>used to report targets</w:t>
      </w:r>
      <w:r w:rsidR="00446631">
        <w:t xml:space="preserve"> </w:t>
      </w:r>
      <w:r w:rsidR="00981680">
        <w:t>in</w:t>
      </w:r>
      <w:r w:rsidR="00446631">
        <w:t xml:space="preserve"> the National Transit Database. </w:t>
      </w:r>
    </w:p>
    <w:p w14:paraId="6F2D5C13" w14:textId="77777777" w:rsidR="00E85F20" w:rsidRPr="00E13F26" w:rsidRDefault="00E85F20" w:rsidP="00E13F26"/>
    <w:p w14:paraId="5345ACAD" w14:textId="48D09B48" w:rsidR="00971D09" w:rsidRDefault="00E85F20" w:rsidP="00493F14">
      <w:pPr>
        <w:rPr>
          <w:b/>
        </w:rPr>
      </w:pPr>
      <w:r w:rsidRPr="005A61E4">
        <w:rPr>
          <w:b/>
        </w:rPr>
        <w:t xml:space="preserve">Table </w:t>
      </w:r>
      <w:r w:rsidR="00493F14">
        <w:rPr>
          <w:b/>
        </w:rPr>
        <w:t>20</w:t>
      </w:r>
      <w:r w:rsidR="00493F14" w:rsidRPr="005A61E4">
        <w:rPr>
          <w:b/>
        </w:rPr>
        <w:t xml:space="preserve"> </w:t>
      </w:r>
      <w:r>
        <w:rPr>
          <w:b/>
        </w:rPr>
        <w:t>MaineDOT</w:t>
      </w:r>
      <w:r w:rsidRPr="005A61E4">
        <w:rPr>
          <w:b/>
        </w:rPr>
        <w:t xml:space="preserve"> </w:t>
      </w:r>
      <w:r>
        <w:rPr>
          <w:b/>
        </w:rPr>
        <w:t>SGR Targets</w:t>
      </w:r>
    </w:p>
    <w:p w14:paraId="05E1FCAA" w14:textId="77777777" w:rsidR="004B2765" w:rsidRDefault="004B2765" w:rsidP="00493F14">
      <w:pPr>
        <w:rPr>
          <w:b/>
        </w:rPr>
      </w:pPr>
    </w:p>
    <w:p w14:paraId="0EB8DDD5" w14:textId="08504F6E" w:rsidR="00D90F29" w:rsidRDefault="00D249C1" w:rsidP="000D0EEE">
      <w:r w:rsidRPr="00D249C1">
        <w:rPr>
          <w:noProof/>
        </w:rPr>
        <w:drawing>
          <wp:inline distT="0" distB="0" distL="0" distR="0" wp14:anchorId="1C16A403" wp14:editId="3896153D">
            <wp:extent cx="4556125" cy="2146935"/>
            <wp:effectExtent l="0" t="0" r="0" b="5715"/>
            <wp:docPr id="8" name="Picture 8" descr="Table 20 MaineDOT State of Good Repair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20 MaineDOT State of Good Repair Targe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6125" cy="2146935"/>
                    </a:xfrm>
                    <a:prstGeom prst="rect">
                      <a:avLst/>
                    </a:prstGeom>
                    <a:noFill/>
                    <a:ln>
                      <a:noFill/>
                    </a:ln>
                  </pic:spPr>
                </pic:pic>
              </a:graphicData>
            </a:graphic>
          </wp:inline>
        </w:drawing>
      </w:r>
    </w:p>
    <w:p w14:paraId="553DFB4B" w14:textId="45DE4749" w:rsidR="00964576" w:rsidRDefault="00964576" w:rsidP="000D0EEE"/>
    <w:p w14:paraId="7B618997" w14:textId="3D473854" w:rsidR="00964576" w:rsidRDefault="00964576" w:rsidP="000D0EEE">
      <w:r w:rsidRPr="00964576">
        <w:rPr>
          <w:noProof/>
        </w:rPr>
        <w:drawing>
          <wp:inline distT="0" distB="0" distL="0" distR="0" wp14:anchorId="42AC5188" wp14:editId="26293324">
            <wp:extent cx="4556125" cy="1749425"/>
            <wp:effectExtent l="0" t="0" r="0" b="3175"/>
            <wp:docPr id="5" name="Picture 5" descr="Table 20 Part 2 - SGR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20 Part 2 - SGR Target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6125" cy="1749425"/>
                    </a:xfrm>
                    <a:prstGeom prst="rect">
                      <a:avLst/>
                    </a:prstGeom>
                    <a:noFill/>
                    <a:ln>
                      <a:noFill/>
                    </a:ln>
                  </pic:spPr>
                </pic:pic>
              </a:graphicData>
            </a:graphic>
          </wp:inline>
        </w:drawing>
      </w:r>
    </w:p>
    <w:p w14:paraId="7048C115" w14:textId="61623B6B" w:rsidR="00964576" w:rsidRDefault="00964576" w:rsidP="000D0EEE"/>
    <w:p w14:paraId="108E63EC" w14:textId="67E735B9" w:rsidR="00964576" w:rsidRDefault="00D249C1" w:rsidP="000D0EEE">
      <w:r w:rsidRPr="00D249C1">
        <w:rPr>
          <w:noProof/>
        </w:rPr>
        <w:lastRenderedPageBreak/>
        <w:drawing>
          <wp:inline distT="0" distB="0" distL="0" distR="0" wp14:anchorId="191B8B58" wp14:editId="041301DC">
            <wp:extent cx="4556125" cy="2329815"/>
            <wp:effectExtent l="0" t="0" r="0" b="0"/>
            <wp:docPr id="10" name="Picture 10" descr="Table 20 Part 3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20 Part 3 Faciliti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6125" cy="2329815"/>
                    </a:xfrm>
                    <a:prstGeom prst="rect">
                      <a:avLst/>
                    </a:prstGeom>
                    <a:noFill/>
                    <a:ln>
                      <a:noFill/>
                    </a:ln>
                  </pic:spPr>
                </pic:pic>
              </a:graphicData>
            </a:graphic>
          </wp:inline>
        </w:drawing>
      </w:r>
    </w:p>
    <w:p w14:paraId="21473B88" w14:textId="77777777" w:rsidR="00964576" w:rsidRDefault="00964576" w:rsidP="000D0EEE"/>
    <w:bookmarkStart w:id="23" w:name="_Toc527365848"/>
    <w:p w14:paraId="069014F6" w14:textId="74AC2F2E" w:rsidR="00D90F29" w:rsidRDefault="005A61E4" w:rsidP="00802E48">
      <w:pPr>
        <w:pStyle w:val="Heading1"/>
        <w:ind w:left="0"/>
      </w:pPr>
      <w:r w:rsidRPr="005A61E4">
        <w:rPr>
          <w:noProof/>
        </w:rPr>
        <mc:AlternateContent>
          <mc:Choice Requires="wps">
            <w:drawing>
              <wp:anchor distT="0" distB="0" distL="114300" distR="114300" simplePos="0" relativeHeight="251685888" behindDoc="0" locked="0" layoutInCell="1" allowOverlap="1" wp14:anchorId="73C2CA84" wp14:editId="0C9AFA3D">
                <wp:simplePos x="0" y="0"/>
                <wp:positionH relativeFrom="column">
                  <wp:posOffset>135255</wp:posOffset>
                </wp:positionH>
                <wp:positionV relativeFrom="paragraph">
                  <wp:posOffset>221615</wp:posOffset>
                </wp:positionV>
                <wp:extent cx="5967730" cy="0"/>
                <wp:effectExtent l="0" t="0" r="33020" b="19050"/>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straightConnector1">
                          <a:avLst/>
                        </a:prstGeom>
                        <a:noFill/>
                        <a:ln w="9525">
                          <a:solidFill>
                            <a:srgbClr val="6C00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99BF4DF" id="_x0000_t32" coordsize="21600,21600" o:spt="32" o:oned="t" path="m,l21600,21600e" filled="f">
                <v:path arrowok="t" fillok="f" o:connecttype="none"/>
                <o:lock v:ext="edit" shapetype="t"/>
              </v:shapetype>
              <v:shape id="AutoShape 44" o:spid="_x0000_s1026" type="#_x0000_t32" style="position:absolute;margin-left:10.65pt;margin-top:17.45pt;width:469.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" strokecolor="#6c006c"/>
            </w:pict>
          </mc:Fallback>
        </mc:AlternateContent>
      </w:r>
      <w:r w:rsidR="00D90F29">
        <w:t>Investment Prioritization</w:t>
      </w:r>
      <w:bookmarkEnd w:id="23"/>
    </w:p>
    <w:p w14:paraId="46FF9055" w14:textId="123EC597" w:rsidR="00D90F29" w:rsidRDefault="00D90F29" w:rsidP="000D0EEE"/>
    <w:p w14:paraId="41D16225" w14:textId="5CF75FE7" w:rsidR="00D36F33" w:rsidRDefault="00FC6715" w:rsidP="00805D12">
      <w:pPr>
        <w:pStyle w:val="BodyText"/>
        <w:spacing w:line="244" w:lineRule="exact"/>
        <w:rPr>
          <w:b/>
          <w:u w:val="single"/>
        </w:rPr>
      </w:pPr>
      <w:r>
        <w:rPr>
          <w:b/>
          <w:u w:val="single"/>
        </w:rPr>
        <w:t>Decision-Making Process</w:t>
      </w:r>
    </w:p>
    <w:p w14:paraId="192719DB" w14:textId="77777777" w:rsidR="00FC6715" w:rsidRDefault="00FC6715" w:rsidP="00805D12">
      <w:pPr>
        <w:pStyle w:val="BodyText"/>
        <w:spacing w:line="244" w:lineRule="exact"/>
        <w:rPr>
          <w:b/>
          <w:u w:val="single"/>
        </w:rPr>
      </w:pPr>
    </w:p>
    <w:p w14:paraId="221D2061" w14:textId="60BF6834" w:rsidR="007B068F" w:rsidRPr="007B068F" w:rsidRDefault="007B068F" w:rsidP="007B068F">
      <w:pPr>
        <w:ind w:left="0"/>
      </w:pPr>
      <w:r w:rsidRPr="000B7692">
        <w:t xml:space="preserve">MaineDOT </w:t>
      </w:r>
      <w:r w:rsidR="007D4FDB" w:rsidRPr="000B7692">
        <w:t xml:space="preserve">uses </w:t>
      </w:r>
      <w:r w:rsidRPr="000B7692">
        <w:t>a Multimodal Committee to review capital and operating/maintenance needs and prioritize investment decisions for the upcoming four</w:t>
      </w:r>
      <w:r w:rsidRPr="007B068F">
        <w:t xml:space="preserve"> years. The Transit Operations Section of the Bureau of Planning makes requests for capital funding for rolling stock and facility investment needs based on a review of bus condition assessments and projections, transit provider requests and anticipated federal funding to be matched. The Maine State Ferry Service makes requests for ferry vessel and associated infrastructure investments. The Committee’s recommendations are ultimately reviewed and finalized by the MaineDOT Commissioner and included in the State Transportation Improvement Program (STIP).  </w:t>
      </w:r>
    </w:p>
    <w:p w14:paraId="2F8F880A" w14:textId="77777777" w:rsidR="00D36F33" w:rsidRDefault="00D36F33" w:rsidP="00805D12">
      <w:pPr>
        <w:pStyle w:val="BodyText"/>
        <w:spacing w:line="244" w:lineRule="exact"/>
        <w:rPr>
          <w:b/>
          <w:u w:val="single"/>
        </w:rPr>
      </w:pPr>
    </w:p>
    <w:p w14:paraId="05F27EA8" w14:textId="2DEAED30" w:rsidR="00E13F26" w:rsidRPr="00E13F26" w:rsidRDefault="00E13F26" w:rsidP="00805D12">
      <w:pPr>
        <w:pStyle w:val="BodyText"/>
        <w:spacing w:line="244" w:lineRule="exact"/>
        <w:rPr>
          <w:b/>
          <w:u w:val="single"/>
        </w:rPr>
      </w:pPr>
      <w:r w:rsidRPr="00E13F26">
        <w:rPr>
          <w:b/>
          <w:u w:val="single"/>
        </w:rPr>
        <w:t>Land-Based Transit Systems</w:t>
      </w:r>
    </w:p>
    <w:p w14:paraId="45277623" w14:textId="77777777" w:rsidR="00E13F26" w:rsidRDefault="00E13F26" w:rsidP="00805D12">
      <w:pPr>
        <w:pStyle w:val="BodyText"/>
        <w:spacing w:line="244" w:lineRule="exact"/>
        <w:rPr>
          <w:u w:val="single"/>
        </w:rPr>
      </w:pPr>
    </w:p>
    <w:p w14:paraId="4D6020D4" w14:textId="2139E589" w:rsidR="00805D12" w:rsidRPr="00926523" w:rsidRDefault="00805D12" w:rsidP="00805D12">
      <w:pPr>
        <w:pStyle w:val="BodyText"/>
        <w:spacing w:line="244" w:lineRule="exact"/>
        <w:rPr>
          <w:u w:val="single"/>
        </w:rPr>
      </w:pPr>
      <w:r>
        <w:rPr>
          <w:u w:val="single"/>
        </w:rPr>
        <w:t>Rolling Stock and Equipment (Non-revenue Vehicles)</w:t>
      </w:r>
    </w:p>
    <w:p w14:paraId="7BD84B24" w14:textId="77777777" w:rsidR="00805D12" w:rsidRDefault="00805D12" w:rsidP="00805D12">
      <w:pPr>
        <w:pStyle w:val="BodyText"/>
        <w:spacing w:line="244" w:lineRule="exact"/>
      </w:pPr>
    </w:p>
    <w:p w14:paraId="33C79406" w14:textId="6245E0EE" w:rsidR="00805D12" w:rsidRDefault="00805D12" w:rsidP="00805D12">
      <w:pPr>
        <w:pStyle w:val="BodyText"/>
        <w:spacing w:line="244" w:lineRule="exact"/>
      </w:pPr>
      <w:r>
        <w:t>Through the process laid out in earlier sections of this plan, MaineDOT is able to generate a</w:t>
      </w:r>
    </w:p>
    <w:p w14:paraId="0A866C0C" w14:textId="40032E9D" w:rsidR="00805D12" w:rsidRDefault="00805D12" w:rsidP="00805D12">
      <w:pPr>
        <w:pStyle w:val="BodyText"/>
        <w:spacing w:before="25" w:line="264" w:lineRule="auto"/>
        <w:ind w:right="412"/>
      </w:pPr>
      <w:r>
        <w:t xml:space="preserve">listing of capital assets in need of replacement or rehabilitation. In an effort to achieve an increased level of State of Good Repair (SGR) and assure transit riders and transit employees the vehicles they are riding or operating are safe and reliable, MaineDOT annually generates the list </w:t>
      </w:r>
      <w:r w:rsidR="007D4FDB" w:rsidRPr="000B7692">
        <w:t xml:space="preserve">in Table </w:t>
      </w:r>
      <w:r w:rsidR="00493F14" w:rsidRPr="000B7692">
        <w:t xml:space="preserve">21 </w:t>
      </w:r>
      <w:r w:rsidRPr="000B7692">
        <w:t>to provide</w:t>
      </w:r>
      <w:r>
        <w:t xml:space="preserve"> guidance for future investment projects by MaineDOT and subrecipients.</w:t>
      </w:r>
    </w:p>
    <w:p w14:paraId="61EBAEDF" w14:textId="77777777" w:rsidR="00805D12" w:rsidRDefault="00805D12" w:rsidP="00805D12">
      <w:pPr>
        <w:pStyle w:val="BodyText"/>
        <w:spacing w:before="2"/>
        <w:rPr>
          <w:sz w:val="24"/>
        </w:rPr>
      </w:pPr>
    </w:p>
    <w:p w14:paraId="29A088CA" w14:textId="7FB10C2E" w:rsidR="00805D12" w:rsidRDefault="00805D12" w:rsidP="00805D12">
      <w:pPr>
        <w:pStyle w:val="BodyText"/>
        <w:spacing w:line="264" w:lineRule="auto"/>
        <w:ind w:right="590"/>
      </w:pPr>
      <w:r>
        <w:t>Other factors may have an impact on the ability to replace the assets on this list, but because of the list MaineDOT is able to plan more effectively for the next fiscal year.</w:t>
      </w:r>
    </w:p>
    <w:p w14:paraId="0EAC76D1" w14:textId="77777777" w:rsidR="00805D12" w:rsidRDefault="00805D12" w:rsidP="00805D12">
      <w:pPr>
        <w:pStyle w:val="BodyText"/>
        <w:spacing w:before="3"/>
        <w:rPr>
          <w:sz w:val="24"/>
        </w:rPr>
      </w:pPr>
    </w:p>
    <w:p w14:paraId="52E8EDEC" w14:textId="27E1DBFE" w:rsidR="00805D12" w:rsidRDefault="00802E48" w:rsidP="00805D12">
      <w:pPr>
        <w:pStyle w:val="BodyText"/>
        <w:spacing w:before="1" w:line="264" w:lineRule="auto"/>
        <w:ind w:right="441"/>
      </w:pPr>
      <w:r w:rsidRPr="000B7692">
        <w:t xml:space="preserve">Table </w:t>
      </w:r>
      <w:r w:rsidR="00493F14" w:rsidRPr="000B7692">
        <w:t xml:space="preserve">21 </w:t>
      </w:r>
      <w:r w:rsidR="00805D12" w:rsidRPr="000B7692">
        <w:t>shows</w:t>
      </w:r>
      <w:r w:rsidR="00805D12">
        <w:t xml:space="preserve"> a list of capital assets scoring the l</w:t>
      </w:r>
      <w:r>
        <w:t>owest score based on the three-</w:t>
      </w:r>
      <w:r w:rsidR="00805D12">
        <w:t>factor analysis. Rolling stock assets include any vehicle with an average score of 2 or below.</w:t>
      </w:r>
    </w:p>
    <w:p w14:paraId="1ED709E4" w14:textId="2407B60B" w:rsidR="00D90F29" w:rsidRDefault="00D90F29" w:rsidP="00E13F26">
      <w:pPr>
        <w:ind w:left="0"/>
      </w:pPr>
    </w:p>
    <w:p w14:paraId="56DF87E1" w14:textId="586CB24E" w:rsidR="00E41E1C" w:rsidRDefault="00E41E1C" w:rsidP="00E13F26">
      <w:pPr>
        <w:ind w:left="0"/>
      </w:pPr>
    </w:p>
    <w:p w14:paraId="5D0145EE" w14:textId="77777777" w:rsidR="00E41E1C" w:rsidRDefault="00E41E1C" w:rsidP="00E13F26">
      <w:pPr>
        <w:ind w:left="0"/>
      </w:pPr>
    </w:p>
    <w:p w14:paraId="3F9A29C9" w14:textId="77777777" w:rsidR="006071E3" w:rsidRDefault="006071E3" w:rsidP="006071E3">
      <w:pPr>
        <w:pStyle w:val="BodyText"/>
        <w:spacing w:before="25" w:line="264" w:lineRule="auto"/>
        <w:ind w:right="412"/>
      </w:pPr>
      <w:r>
        <w:rPr>
          <w:b/>
          <w:bCs/>
        </w:rPr>
        <w:lastRenderedPageBreak/>
        <w:t>Table 21 Priority Investment by Average SGR</w:t>
      </w:r>
    </w:p>
    <w:p w14:paraId="1841C942" w14:textId="77777777" w:rsidR="006071E3" w:rsidRDefault="006071E3" w:rsidP="006071E3">
      <w:pPr>
        <w:pStyle w:val="BodyText"/>
        <w:spacing w:before="25" w:line="264" w:lineRule="auto"/>
        <w:ind w:right="412"/>
      </w:pPr>
    </w:p>
    <w:p w14:paraId="2ED29629" w14:textId="4B0AEFA3" w:rsidR="006071E3" w:rsidRPr="00331082" w:rsidRDefault="006071E3" w:rsidP="006071E3">
      <w:pPr>
        <w:pStyle w:val="BodyText"/>
        <w:spacing w:before="25" w:line="264" w:lineRule="auto"/>
        <w:ind w:right="412"/>
      </w:pPr>
      <w:r>
        <w:t>Subrecipients have 59 buses and vans on the priority investment list for replacement</w:t>
      </w:r>
      <w:r w:rsidR="006E2614">
        <w:t xml:space="preserve"> that </w:t>
      </w:r>
      <w:r w:rsidR="00354BA9">
        <w:t>are ranked lowest to highest</w:t>
      </w:r>
      <w:r>
        <w:t xml:space="preserve"> based on their average S</w:t>
      </w:r>
      <w:r w:rsidR="00354BA9">
        <w:t xml:space="preserve">tate of Good repair </w:t>
      </w:r>
      <w:r>
        <w:t>ranking below 2.0. and are a priority to be replaced (See Table 21)</w:t>
      </w:r>
    </w:p>
    <w:p w14:paraId="0627D848" w14:textId="3F95419B" w:rsidR="00BB75DD" w:rsidRDefault="00BB75DD" w:rsidP="00311374">
      <w:pPr>
        <w:jc w:val="center"/>
        <w:rPr>
          <w:b/>
        </w:rPr>
      </w:pPr>
    </w:p>
    <w:p w14:paraId="3A55B7E8" w14:textId="3F815517" w:rsidR="00344DD6" w:rsidRDefault="00344DD6" w:rsidP="007F76D3">
      <w:pPr>
        <w:ind w:left="0"/>
        <w:rPr>
          <w:b/>
        </w:rPr>
      </w:pPr>
      <w:r w:rsidRPr="00311374">
        <w:rPr>
          <w:b/>
        </w:rPr>
        <w:t xml:space="preserve">Table </w:t>
      </w:r>
      <w:r w:rsidR="00493F14">
        <w:rPr>
          <w:b/>
        </w:rPr>
        <w:t>22</w:t>
      </w:r>
      <w:r w:rsidR="00493F14" w:rsidRPr="00311374">
        <w:rPr>
          <w:b/>
        </w:rPr>
        <w:t xml:space="preserve"> </w:t>
      </w:r>
      <w:r w:rsidRPr="00311374">
        <w:rPr>
          <w:b/>
        </w:rPr>
        <w:t xml:space="preserve">Investment Priority Table – </w:t>
      </w:r>
      <w:r w:rsidR="003803B7">
        <w:rPr>
          <w:b/>
        </w:rPr>
        <w:t>Rolling Stock</w:t>
      </w:r>
      <w:r w:rsidR="000806E8">
        <w:rPr>
          <w:b/>
        </w:rPr>
        <w:t xml:space="preserve"> by Type</w:t>
      </w:r>
      <w:r w:rsidR="007E298B">
        <w:rPr>
          <w:b/>
        </w:rPr>
        <w:t xml:space="preserve"> (projected over 2-5 years)</w:t>
      </w:r>
    </w:p>
    <w:p w14:paraId="5B451BB1" w14:textId="6C67B659" w:rsidR="000806E8" w:rsidRDefault="000806E8" w:rsidP="000806E8">
      <w:pPr>
        <w:rPr>
          <w:b/>
        </w:rPr>
      </w:pPr>
    </w:p>
    <w:p w14:paraId="590E2DC3" w14:textId="77777777" w:rsidR="0040487E" w:rsidRPr="007F76D3" w:rsidRDefault="00267E89" w:rsidP="007F76D3">
      <w:pPr>
        <w:ind w:left="0"/>
        <w:rPr>
          <w:bCs/>
        </w:rPr>
      </w:pPr>
      <w:r w:rsidRPr="007F76D3">
        <w:rPr>
          <w:bCs/>
        </w:rPr>
        <w:t>The Investment Priority tables outline the Average State of Good Repair for rolling stock and non-revenue vehicles starting with the 2021 data then over a 5-year period until 2025.  The projected miles for each year thereafter are based on an average of miles since the vehicle was placed into service over the course of its service life as of 2021.</w:t>
      </w:r>
      <w:r w:rsidR="0040487E" w:rsidRPr="007F76D3">
        <w:rPr>
          <w:bCs/>
        </w:rPr>
        <w:t xml:space="preserve">  </w:t>
      </w:r>
    </w:p>
    <w:p w14:paraId="31E55C4F" w14:textId="77777777" w:rsidR="0040487E" w:rsidRPr="007F76D3" w:rsidRDefault="0040487E" w:rsidP="000806E8">
      <w:pPr>
        <w:rPr>
          <w:bCs/>
        </w:rPr>
      </w:pPr>
    </w:p>
    <w:p w14:paraId="61CB6CBD" w14:textId="0FFE829C" w:rsidR="00267E89" w:rsidRPr="007F76D3" w:rsidRDefault="0040487E" w:rsidP="007F76D3">
      <w:pPr>
        <w:ind w:left="0"/>
        <w:rPr>
          <w:bCs/>
        </w:rPr>
      </w:pPr>
      <w:r w:rsidRPr="007F76D3">
        <w:rPr>
          <w:bCs/>
        </w:rPr>
        <w:t>MaineDOT reserves the right to replace any rolling stock that is beyond its useful life in years and/or miles and takes into account any maintenance costs that would decrease its state of good repair.</w:t>
      </w:r>
      <w:r w:rsidR="00267E89" w:rsidRPr="007F76D3">
        <w:rPr>
          <w:bCs/>
        </w:rPr>
        <w:t xml:space="preserve">    </w:t>
      </w:r>
    </w:p>
    <w:p w14:paraId="64854CD1" w14:textId="77777777" w:rsidR="00C75458" w:rsidRDefault="00C75458" w:rsidP="000806E8">
      <w:pPr>
        <w:rPr>
          <w:b/>
        </w:rPr>
      </w:pPr>
    </w:p>
    <w:p w14:paraId="02E123C3" w14:textId="77777777" w:rsidR="00267E89" w:rsidRDefault="000806E8" w:rsidP="007F76D3">
      <w:pPr>
        <w:ind w:left="0"/>
        <w:rPr>
          <w:b/>
        </w:rPr>
      </w:pPr>
      <w:r>
        <w:rPr>
          <w:b/>
        </w:rPr>
        <w:t>SHDB</w:t>
      </w:r>
      <w:r w:rsidR="00267E89">
        <w:rPr>
          <w:b/>
        </w:rPr>
        <w:t xml:space="preserve"> (12 year or 500,000 miles)</w:t>
      </w:r>
    </w:p>
    <w:p w14:paraId="4AF9B4F3" w14:textId="77777777" w:rsidR="00267E89" w:rsidRPr="007F76D3" w:rsidRDefault="00267E89" w:rsidP="007E298B">
      <w:pPr>
        <w:rPr>
          <w:bCs/>
        </w:rPr>
      </w:pPr>
    </w:p>
    <w:p w14:paraId="647F1D17" w14:textId="37E95D2F" w:rsidR="00267E89" w:rsidRDefault="00267E89" w:rsidP="007F76D3">
      <w:pPr>
        <w:ind w:left="0"/>
        <w:rPr>
          <w:b/>
        </w:rPr>
      </w:pPr>
      <w:r w:rsidRPr="007F76D3">
        <w:rPr>
          <w:bCs/>
        </w:rPr>
        <w:t>The subrecipients have 2 buses under the SHDB category.</w:t>
      </w:r>
      <w:r w:rsidR="0040487E" w:rsidRPr="007F76D3">
        <w:rPr>
          <w:bCs/>
        </w:rPr>
        <w:t xml:space="preserve">  None of these buses show an SGR status &lt;2.0 over this 5-year period.  (See Table 22 - SHDB)</w:t>
      </w:r>
      <w:r w:rsidR="00340EE7">
        <w:rPr>
          <w:b/>
        </w:rPr>
        <w:tab/>
      </w:r>
      <w:bookmarkStart w:id="24" w:name="_Hlk108014681"/>
    </w:p>
    <w:bookmarkEnd w:id="24"/>
    <w:p w14:paraId="4A747C15" w14:textId="71C91967" w:rsidR="003C0293" w:rsidRDefault="003C0293" w:rsidP="007E298B">
      <w:pPr>
        <w:rPr>
          <w:b/>
        </w:rPr>
      </w:pPr>
    </w:p>
    <w:p w14:paraId="0D607D30" w14:textId="77777777" w:rsidR="0040487E" w:rsidRDefault="003C0293" w:rsidP="007F76D3">
      <w:pPr>
        <w:ind w:left="0"/>
        <w:rPr>
          <w:b/>
        </w:rPr>
      </w:pPr>
      <w:r>
        <w:rPr>
          <w:b/>
        </w:rPr>
        <w:t>MHDB</w:t>
      </w:r>
      <w:r w:rsidR="0040487E">
        <w:rPr>
          <w:b/>
        </w:rPr>
        <w:t xml:space="preserve"> (10 years or 350,000 miles)</w:t>
      </w:r>
    </w:p>
    <w:p w14:paraId="655E31E8" w14:textId="77777777" w:rsidR="0040487E" w:rsidRDefault="0040487E" w:rsidP="007E298B">
      <w:pPr>
        <w:rPr>
          <w:b/>
        </w:rPr>
      </w:pPr>
    </w:p>
    <w:p w14:paraId="3D916ED2" w14:textId="2D2A9D2C" w:rsidR="0040487E" w:rsidRPr="007F76D3" w:rsidRDefault="0040487E" w:rsidP="007F76D3">
      <w:pPr>
        <w:ind w:left="0"/>
        <w:rPr>
          <w:bCs/>
        </w:rPr>
      </w:pPr>
      <w:r w:rsidRPr="007F76D3">
        <w:rPr>
          <w:bCs/>
        </w:rPr>
        <w:t>The subrecipients have 30 buses under the MHDB category.  None of these buses show an SGR status &lt;2.0</w:t>
      </w:r>
      <w:r w:rsidR="00AB0A86" w:rsidRPr="007F76D3">
        <w:rPr>
          <w:bCs/>
        </w:rPr>
        <w:t xml:space="preserve"> in 2021.  However, this number does increase to a total of 3 in 2023 and each thereafter until the end of the </w:t>
      </w:r>
      <w:r w:rsidRPr="007F76D3">
        <w:rPr>
          <w:bCs/>
        </w:rPr>
        <w:t>5-year period</w:t>
      </w:r>
      <w:r w:rsidR="00AB0A86" w:rsidRPr="007F76D3">
        <w:rPr>
          <w:bCs/>
        </w:rPr>
        <w:t xml:space="preserve"> ending in 2025</w:t>
      </w:r>
      <w:r w:rsidRPr="007F76D3">
        <w:rPr>
          <w:bCs/>
        </w:rPr>
        <w:t>.  (See Table 22 – MHDB)</w:t>
      </w:r>
    </w:p>
    <w:p w14:paraId="37B00031" w14:textId="750929FB" w:rsidR="00311374" w:rsidRPr="007F76D3" w:rsidRDefault="00311374" w:rsidP="00260360">
      <w:pPr>
        <w:pStyle w:val="Heading1"/>
        <w:rPr>
          <w:b w:val="0"/>
          <w:bCs/>
        </w:rPr>
      </w:pPr>
    </w:p>
    <w:p w14:paraId="327946AB" w14:textId="77777777" w:rsidR="00AB0A86" w:rsidRDefault="003C0293" w:rsidP="007F76D3">
      <w:pPr>
        <w:ind w:left="0"/>
        <w:rPr>
          <w:b/>
        </w:rPr>
      </w:pPr>
      <w:r w:rsidRPr="00BE5F13">
        <w:rPr>
          <w:b/>
        </w:rPr>
        <w:t>SMDB</w:t>
      </w:r>
      <w:r w:rsidR="00AB0A86">
        <w:rPr>
          <w:b/>
        </w:rPr>
        <w:t xml:space="preserve"> (7 years or 200,000 miles)</w:t>
      </w:r>
    </w:p>
    <w:p w14:paraId="0E72A34C" w14:textId="5EEF57F9" w:rsidR="00AB0A86" w:rsidRDefault="00AB0A86" w:rsidP="00D30AB3">
      <w:pPr>
        <w:rPr>
          <w:b/>
        </w:rPr>
      </w:pPr>
    </w:p>
    <w:p w14:paraId="7ABC9E58" w14:textId="0E13832C" w:rsidR="00AB0A86" w:rsidRPr="007F76D3" w:rsidRDefault="00AB0A86" w:rsidP="007F76D3">
      <w:pPr>
        <w:ind w:left="0"/>
        <w:rPr>
          <w:bCs/>
        </w:rPr>
      </w:pPr>
      <w:r w:rsidRPr="007F76D3">
        <w:rPr>
          <w:bCs/>
        </w:rPr>
        <w:t>The subrecipients have 78 cutaways/buses under the SMDB category.  There are 22 of these buses show an SGR status &lt;2.0 in 2021.  However, this number does increase to a</w:t>
      </w:r>
      <w:r w:rsidR="00426AE9" w:rsidRPr="007F76D3">
        <w:rPr>
          <w:bCs/>
        </w:rPr>
        <w:t>n additional</w:t>
      </w:r>
      <w:r w:rsidRPr="007F76D3">
        <w:rPr>
          <w:bCs/>
        </w:rPr>
        <w:t xml:space="preserve"> </w:t>
      </w:r>
      <w:r w:rsidR="00426AE9" w:rsidRPr="007F76D3">
        <w:rPr>
          <w:bCs/>
        </w:rPr>
        <w:t>15</w:t>
      </w:r>
      <w:r w:rsidRPr="007F76D3">
        <w:rPr>
          <w:bCs/>
        </w:rPr>
        <w:t xml:space="preserve"> until the end of the 5-year period ending in 2025.  (See Table 22 – </w:t>
      </w:r>
      <w:r w:rsidR="0090303D" w:rsidRPr="007F76D3">
        <w:rPr>
          <w:bCs/>
        </w:rPr>
        <w:t>SM</w:t>
      </w:r>
      <w:r w:rsidRPr="007F76D3">
        <w:rPr>
          <w:bCs/>
        </w:rPr>
        <w:t>DB)</w:t>
      </w:r>
    </w:p>
    <w:p w14:paraId="1574DB0A" w14:textId="500767EB" w:rsidR="00D30AB3" w:rsidRDefault="003C0293" w:rsidP="00D30AB3">
      <w:pPr>
        <w:rPr>
          <w:b/>
        </w:rPr>
      </w:pPr>
      <w:r w:rsidRPr="00BE5F13">
        <w:rPr>
          <w:b/>
        </w:rPr>
        <w:t xml:space="preserve"> </w:t>
      </w:r>
      <w:bookmarkStart w:id="25" w:name="_Hlk108084446"/>
      <w:r w:rsidR="00D30AB3">
        <w:rPr>
          <w:b/>
        </w:rPr>
        <w:tab/>
      </w:r>
    </w:p>
    <w:bookmarkEnd w:id="25"/>
    <w:p w14:paraId="0D8046A6" w14:textId="77777777" w:rsidR="0090303D" w:rsidRDefault="003C0293" w:rsidP="007F76D3">
      <w:pPr>
        <w:ind w:left="0"/>
        <w:rPr>
          <w:b/>
        </w:rPr>
      </w:pPr>
      <w:r w:rsidRPr="00BE5F13">
        <w:rPr>
          <w:b/>
        </w:rPr>
        <w:t>LDB</w:t>
      </w:r>
      <w:r w:rsidR="0090303D">
        <w:rPr>
          <w:b/>
        </w:rPr>
        <w:t xml:space="preserve"> (5 Years or 150,000 miles)</w:t>
      </w:r>
    </w:p>
    <w:p w14:paraId="1386A1A4" w14:textId="1D07AAAC" w:rsidR="0090303D" w:rsidRDefault="0090303D" w:rsidP="00D30AB3">
      <w:pPr>
        <w:rPr>
          <w:b/>
        </w:rPr>
      </w:pPr>
    </w:p>
    <w:p w14:paraId="7B2335F2" w14:textId="0BF5016E" w:rsidR="0090303D" w:rsidRPr="007F76D3" w:rsidRDefault="0090303D" w:rsidP="007F76D3">
      <w:pPr>
        <w:ind w:left="0"/>
        <w:rPr>
          <w:bCs/>
        </w:rPr>
      </w:pPr>
      <w:r w:rsidRPr="007F76D3">
        <w:rPr>
          <w:bCs/>
        </w:rPr>
        <w:t>The subrecipients have 109 cutaways under the LDB category.  There are 10 of these buses show an SGR status &lt;2.0 in 2021.  However, this number does increase to an additional 3 until the end of the 5-year period ending in 2025.  (See Table 22 – LDB)</w:t>
      </w:r>
    </w:p>
    <w:p w14:paraId="174020D4" w14:textId="77777777" w:rsidR="00896B3A" w:rsidRDefault="00896B3A" w:rsidP="003C0293"/>
    <w:p w14:paraId="53982DB9" w14:textId="77777777" w:rsidR="0090303D" w:rsidRDefault="003C0293" w:rsidP="007F76D3">
      <w:pPr>
        <w:ind w:left="0"/>
        <w:rPr>
          <w:b/>
        </w:rPr>
      </w:pPr>
      <w:r w:rsidRPr="00BE5F13">
        <w:rPr>
          <w:b/>
        </w:rPr>
        <w:t>Van</w:t>
      </w:r>
      <w:r w:rsidR="0090303D">
        <w:rPr>
          <w:b/>
        </w:rPr>
        <w:t xml:space="preserve"> (4 years or 100,000 miles)</w:t>
      </w:r>
    </w:p>
    <w:p w14:paraId="0FDBFCCF" w14:textId="77777777" w:rsidR="0090303D" w:rsidRDefault="0090303D" w:rsidP="00D30AB3">
      <w:pPr>
        <w:rPr>
          <w:b/>
        </w:rPr>
      </w:pPr>
    </w:p>
    <w:p w14:paraId="3C09F9E3" w14:textId="0F6D4B1E" w:rsidR="0090303D" w:rsidRPr="007F76D3" w:rsidRDefault="0090303D" w:rsidP="007F76D3">
      <w:pPr>
        <w:ind w:left="0"/>
        <w:rPr>
          <w:bCs/>
        </w:rPr>
      </w:pPr>
      <w:r w:rsidRPr="007F76D3">
        <w:rPr>
          <w:bCs/>
        </w:rPr>
        <w:t xml:space="preserve">The subrecipients have 114 vans under the Van category.  There are 32 of these buses </w:t>
      </w:r>
      <w:r w:rsidR="004D752D" w:rsidRPr="007F76D3">
        <w:rPr>
          <w:bCs/>
        </w:rPr>
        <w:t xml:space="preserve">that </w:t>
      </w:r>
      <w:r w:rsidRPr="007F76D3">
        <w:rPr>
          <w:bCs/>
        </w:rPr>
        <w:t>show an SGR status &lt;2.0 in 2021.  However, this number does increase to an additional 15 until the end of the 5-year period ending in 2025.  (See Table 22 – SMDB)</w:t>
      </w:r>
    </w:p>
    <w:p w14:paraId="467B7ECB" w14:textId="6A59F6E5" w:rsidR="003C0293" w:rsidRDefault="003C0293" w:rsidP="003C0293"/>
    <w:p w14:paraId="1861B145" w14:textId="66708203" w:rsidR="004D752D" w:rsidRDefault="004D752D" w:rsidP="006644FC">
      <w:pPr>
        <w:ind w:left="0"/>
        <w:rPr>
          <w:b/>
          <w:bCs/>
        </w:rPr>
      </w:pPr>
      <w:r>
        <w:rPr>
          <w:b/>
          <w:bCs/>
        </w:rPr>
        <w:t xml:space="preserve">Table 23 Investment Priority Table – </w:t>
      </w:r>
      <w:r w:rsidR="00082B29">
        <w:rPr>
          <w:b/>
          <w:bCs/>
        </w:rPr>
        <w:t>Equipment - Non-Revenue Vehicles</w:t>
      </w:r>
    </w:p>
    <w:p w14:paraId="47F1A05D" w14:textId="1BA1EE1F" w:rsidR="00082B29" w:rsidRDefault="00082B29" w:rsidP="006644FC">
      <w:pPr>
        <w:ind w:left="0"/>
        <w:rPr>
          <w:b/>
          <w:bCs/>
        </w:rPr>
      </w:pPr>
    </w:p>
    <w:p w14:paraId="2E38E90A" w14:textId="02547898" w:rsidR="00082B29" w:rsidRPr="00A13AEB" w:rsidRDefault="00082B29" w:rsidP="007F76D3">
      <w:pPr>
        <w:ind w:left="0"/>
      </w:pPr>
      <w:r w:rsidRPr="007F76D3">
        <w:t>The Investment Priority tables outline the Average State of Good Repair for non-revenue vehicles starting with the 2021 data then over a 5-year prior until 2025.  The projected miles for each year thereafter are based on an average of miles since the vehicle was placed into service over the course of its service life as of 2021.</w:t>
      </w:r>
    </w:p>
    <w:p w14:paraId="2240E460" w14:textId="4F574D62" w:rsidR="00896B3A" w:rsidRDefault="00896B3A" w:rsidP="003C0293"/>
    <w:p w14:paraId="2495CF45" w14:textId="54132ED6" w:rsidR="004D752D" w:rsidRDefault="00E13F26" w:rsidP="007F76D3">
      <w:pPr>
        <w:ind w:left="0"/>
        <w:rPr>
          <w:b/>
          <w:bCs/>
        </w:rPr>
      </w:pPr>
      <w:r w:rsidRPr="00D30AB3">
        <w:rPr>
          <w:b/>
          <w:bCs/>
        </w:rPr>
        <w:t>Non-Revenue Vehicles (NRV) – Equipment</w:t>
      </w:r>
      <w:r w:rsidR="00FE05F4">
        <w:rPr>
          <w:b/>
          <w:bCs/>
        </w:rPr>
        <w:t xml:space="preserve"> (Automobiles and Service Vehicles)</w:t>
      </w:r>
    </w:p>
    <w:p w14:paraId="2657222A" w14:textId="77777777" w:rsidR="004D752D" w:rsidRDefault="004D752D" w:rsidP="00D30AB3">
      <w:pPr>
        <w:rPr>
          <w:b/>
          <w:bCs/>
        </w:rPr>
      </w:pPr>
    </w:p>
    <w:p w14:paraId="492E774F" w14:textId="4605DF72" w:rsidR="004D752D" w:rsidRPr="007F76D3" w:rsidRDefault="004D752D" w:rsidP="007F76D3">
      <w:pPr>
        <w:ind w:left="0"/>
      </w:pPr>
      <w:r w:rsidRPr="007F76D3">
        <w:t xml:space="preserve">The subrecipients have 2 automobiles under the Non-Revenue Vehicle category.  These 2 automobiles show an SGR status of ,2.0 in 2021.     </w:t>
      </w:r>
    </w:p>
    <w:p w14:paraId="2853AD08" w14:textId="77777777" w:rsidR="004D752D" w:rsidRPr="007F76D3" w:rsidRDefault="004D752D" w:rsidP="00D30AB3"/>
    <w:p w14:paraId="12C20DE1" w14:textId="022434CB" w:rsidR="004D752D" w:rsidRPr="007F76D3" w:rsidRDefault="004D752D" w:rsidP="007F76D3">
      <w:pPr>
        <w:ind w:left="0"/>
      </w:pPr>
      <w:r w:rsidRPr="007F76D3">
        <w:t xml:space="preserve">The subrecipients have 3 service vehicles under the Non-Revenue Vehicle category.  There are 2 of these service vehicles that show an SGR status of &lt;2.0 in 2021.  There is no change over the 5-year period ending in 2025.  (See Table 23 </w:t>
      </w:r>
      <w:r w:rsidR="00E24018">
        <w:t>–</w:t>
      </w:r>
      <w:r w:rsidRPr="007F76D3">
        <w:t xml:space="preserve"> NRV</w:t>
      </w:r>
      <w:r w:rsidR="00E24018">
        <w:t xml:space="preserve"> – Automobiles and Service Vehicles)</w:t>
      </w:r>
    </w:p>
    <w:p w14:paraId="2BB79FCC" w14:textId="038ED7CA" w:rsidR="004D752D" w:rsidRPr="007F76D3" w:rsidRDefault="004D752D" w:rsidP="00D30AB3"/>
    <w:p w14:paraId="0E774B70" w14:textId="39BDC9CE" w:rsidR="00DD1D44" w:rsidRDefault="00DD1D44">
      <w:pPr>
        <w:spacing w:after="200" w:line="276" w:lineRule="auto"/>
        <w:ind w:left="0"/>
        <w:rPr>
          <w:b/>
          <w:u w:val="single"/>
        </w:rPr>
      </w:pPr>
    </w:p>
    <w:p w14:paraId="7451FDF7" w14:textId="203438E4" w:rsidR="001C349D" w:rsidRDefault="001C349D" w:rsidP="001C349D">
      <w:pPr>
        <w:rPr>
          <w:b/>
          <w:u w:val="single"/>
        </w:rPr>
      </w:pPr>
      <w:r w:rsidRPr="00E13F26">
        <w:rPr>
          <w:b/>
          <w:u w:val="single"/>
        </w:rPr>
        <w:t>Water-Based Transit Systems</w:t>
      </w:r>
    </w:p>
    <w:p w14:paraId="0888DCC1" w14:textId="77777777" w:rsidR="001C349D" w:rsidRDefault="001C349D" w:rsidP="001C349D">
      <w:pPr>
        <w:rPr>
          <w:b/>
          <w:u w:val="single"/>
        </w:rPr>
      </w:pPr>
    </w:p>
    <w:p w14:paraId="05897A82" w14:textId="77777777" w:rsidR="001C349D" w:rsidRDefault="001C349D" w:rsidP="001C349D">
      <w:r>
        <w:t xml:space="preserve">The Maine State Ferry Service and Multimodal Committee uses the aforementioned decision-support tools among other factors, including ferry capacity, passenger and freight needs and Coast Guard requirements, to prioritize and program rehabilitations and replacements. The trend toward increasing ferry sizes causes need to rebuild cribs, berthing spaces and related facilities and equipment so the trend must be considered in tandem. Locations being served by new ferries must be prepared to receive them before they can be put to service. </w:t>
      </w:r>
    </w:p>
    <w:p w14:paraId="062D8F04" w14:textId="77777777" w:rsidR="001C349D" w:rsidRDefault="001C349D" w:rsidP="001C349D"/>
    <w:p w14:paraId="1CD4525D" w14:textId="77777777" w:rsidR="001C349D" w:rsidRDefault="001C349D" w:rsidP="001C349D">
      <w:r>
        <w:t>Several ferries are being programmed for replacement in the near future:</w:t>
      </w:r>
    </w:p>
    <w:p w14:paraId="18687F52" w14:textId="77777777" w:rsidR="001C349D" w:rsidRDefault="001C349D" w:rsidP="001C349D"/>
    <w:tbl>
      <w:tblPr>
        <w:tblStyle w:val="TableGrid"/>
        <w:tblW w:w="8249" w:type="dxa"/>
        <w:tblInd w:w="935" w:type="dxa"/>
        <w:tblLook w:val="04A0" w:firstRow="1" w:lastRow="0" w:firstColumn="1" w:lastColumn="0" w:noHBand="0" w:noVBand="1"/>
      </w:tblPr>
      <w:tblGrid>
        <w:gridCol w:w="2155"/>
        <w:gridCol w:w="1260"/>
        <w:gridCol w:w="1260"/>
        <w:gridCol w:w="3574"/>
      </w:tblGrid>
      <w:tr w:rsidR="001C349D" w14:paraId="71A22043" w14:textId="77777777" w:rsidTr="005709D7">
        <w:trPr>
          <w:trHeight w:val="485"/>
        </w:trPr>
        <w:tc>
          <w:tcPr>
            <w:tcW w:w="2155" w:type="dxa"/>
          </w:tcPr>
          <w:p w14:paraId="7BE935D7" w14:textId="77777777" w:rsidR="001C349D" w:rsidRPr="004524F2" w:rsidRDefault="001C349D" w:rsidP="005709D7">
            <w:pPr>
              <w:ind w:left="0"/>
              <w:rPr>
                <w:b/>
              </w:rPr>
            </w:pPr>
            <w:r w:rsidRPr="004524F2">
              <w:rPr>
                <w:b/>
              </w:rPr>
              <w:t>Vessel Being Replaced</w:t>
            </w:r>
          </w:p>
        </w:tc>
        <w:tc>
          <w:tcPr>
            <w:tcW w:w="1260" w:type="dxa"/>
          </w:tcPr>
          <w:p w14:paraId="3CC37D21" w14:textId="77777777" w:rsidR="001C349D" w:rsidRPr="004524F2" w:rsidRDefault="001C349D" w:rsidP="005709D7">
            <w:pPr>
              <w:ind w:left="0"/>
              <w:rPr>
                <w:b/>
              </w:rPr>
            </w:pPr>
            <w:r w:rsidRPr="004524F2">
              <w:rPr>
                <w:b/>
              </w:rPr>
              <w:t>Year to be Delivered</w:t>
            </w:r>
          </w:p>
        </w:tc>
        <w:tc>
          <w:tcPr>
            <w:tcW w:w="1260" w:type="dxa"/>
          </w:tcPr>
          <w:p w14:paraId="32A436ED" w14:textId="77777777" w:rsidR="001C349D" w:rsidRPr="004524F2" w:rsidRDefault="001C349D" w:rsidP="005709D7">
            <w:pPr>
              <w:ind w:left="0"/>
              <w:rPr>
                <w:b/>
              </w:rPr>
            </w:pPr>
            <w:r w:rsidRPr="004524F2">
              <w:rPr>
                <w:b/>
              </w:rPr>
              <w:t>Estimated Cost</w:t>
            </w:r>
          </w:p>
        </w:tc>
        <w:tc>
          <w:tcPr>
            <w:tcW w:w="3574" w:type="dxa"/>
          </w:tcPr>
          <w:p w14:paraId="60DBF711" w14:textId="77777777" w:rsidR="001C349D" w:rsidRPr="004524F2" w:rsidRDefault="001C349D" w:rsidP="005709D7">
            <w:pPr>
              <w:ind w:left="0"/>
              <w:rPr>
                <w:b/>
              </w:rPr>
            </w:pPr>
            <w:r>
              <w:rPr>
                <w:b/>
              </w:rPr>
              <w:t>Funding Source</w:t>
            </w:r>
          </w:p>
        </w:tc>
      </w:tr>
      <w:tr w:rsidR="001C349D" w14:paraId="2FB342AF" w14:textId="77777777" w:rsidTr="005709D7">
        <w:trPr>
          <w:trHeight w:val="233"/>
        </w:trPr>
        <w:tc>
          <w:tcPr>
            <w:tcW w:w="2155" w:type="dxa"/>
          </w:tcPr>
          <w:p w14:paraId="73BCA96A" w14:textId="77777777" w:rsidR="001C349D" w:rsidRDefault="001C349D" w:rsidP="005709D7">
            <w:pPr>
              <w:ind w:left="0"/>
            </w:pPr>
            <w:r>
              <w:t>Governor Curtis</w:t>
            </w:r>
          </w:p>
        </w:tc>
        <w:tc>
          <w:tcPr>
            <w:tcW w:w="1260" w:type="dxa"/>
          </w:tcPr>
          <w:p w14:paraId="27BC4A1C" w14:textId="77777777" w:rsidR="001C349D" w:rsidRDefault="001C349D" w:rsidP="005709D7">
            <w:pPr>
              <w:ind w:left="0"/>
            </w:pPr>
            <w:r>
              <w:t>May 2022</w:t>
            </w:r>
          </w:p>
        </w:tc>
        <w:tc>
          <w:tcPr>
            <w:tcW w:w="1260" w:type="dxa"/>
          </w:tcPr>
          <w:p w14:paraId="7D73DEB9" w14:textId="77777777" w:rsidR="001C349D" w:rsidRDefault="001C349D" w:rsidP="005709D7">
            <w:pPr>
              <w:ind w:left="0"/>
            </w:pPr>
            <w:r>
              <w:t>NA</w:t>
            </w:r>
          </w:p>
        </w:tc>
        <w:tc>
          <w:tcPr>
            <w:tcW w:w="3574" w:type="dxa"/>
          </w:tcPr>
          <w:p w14:paraId="61345524" w14:textId="77777777" w:rsidR="001C349D" w:rsidRDefault="001C349D" w:rsidP="005709D7">
            <w:pPr>
              <w:ind w:left="0"/>
            </w:pPr>
            <w:r>
              <w:t>Replaced by the Charles Philbrook</w:t>
            </w:r>
          </w:p>
        </w:tc>
      </w:tr>
      <w:tr w:rsidR="001C349D" w14:paraId="27B45A28" w14:textId="77777777" w:rsidTr="005709D7">
        <w:trPr>
          <w:trHeight w:val="242"/>
        </w:trPr>
        <w:tc>
          <w:tcPr>
            <w:tcW w:w="2155" w:type="dxa"/>
          </w:tcPr>
          <w:p w14:paraId="0B12100A" w14:textId="77777777" w:rsidR="001C349D" w:rsidRDefault="001C349D" w:rsidP="005709D7">
            <w:pPr>
              <w:ind w:left="0"/>
            </w:pPr>
            <w:r>
              <w:t>Charles Philbrook</w:t>
            </w:r>
          </w:p>
        </w:tc>
        <w:tc>
          <w:tcPr>
            <w:tcW w:w="1260" w:type="dxa"/>
          </w:tcPr>
          <w:p w14:paraId="4EFE08A7" w14:textId="77777777" w:rsidR="001C349D" w:rsidRDefault="001C349D" w:rsidP="005709D7">
            <w:pPr>
              <w:ind w:left="0"/>
            </w:pPr>
            <w:r>
              <w:t>May 2022</w:t>
            </w:r>
          </w:p>
        </w:tc>
        <w:tc>
          <w:tcPr>
            <w:tcW w:w="1260" w:type="dxa"/>
          </w:tcPr>
          <w:p w14:paraId="029ED147" w14:textId="77777777" w:rsidR="001C349D" w:rsidRDefault="001C349D" w:rsidP="005709D7">
            <w:pPr>
              <w:ind w:left="0"/>
            </w:pPr>
            <w:r>
              <w:t>$12 million</w:t>
            </w:r>
          </w:p>
        </w:tc>
        <w:tc>
          <w:tcPr>
            <w:tcW w:w="3574" w:type="dxa"/>
          </w:tcPr>
          <w:p w14:paraId="21CF45C5" w14:textId="77777777" w:rsidR="001C349D" w:rsidRDefault="001C349D" w:rsidP="005709D7">
            <w:pPr>
              <w:ind w:left="0"/>
            </w:pPr>
            <w:r>
              <w:t>2018 Bond</w:t>
            </w:r>
          </w:p>
        </w:tc>
      </w:tr>
      <w:tr w:rsidR="001C349D" w14:paraId="64E30C5A" w14:textId="77777777" w:rsidTr="005709D7">
        <w:trPr>
          <w:trHeight w:val="242"/>
        </w:trPr>
        <w:tc>
          <w:tcPr>
            <w:tcW w:w="2155" w:type="dxa"/>
          </w:tcPr>
          <w:p w14:paraId="4CF374DE" w14:textId="77777777" w:rsidR="001C349D" w:rsidRDefault="001C349D" w:rsidP="005709D7">
            <w:pPr>
              <w:ind w:left="0"/>
            </w:pPr>
            <w:r>
              <w:t>Everett Libby</w:t>
            </w:r>
          </w:p>
        </w:tc>
        <w:tc>
          <w:tcPr>
            <w:tcW w:w="1260" w:type="dxa"/>
          </w:tcPr>
          <w:p w14:paraId="32D7354D" w14:textId="77777777" w:rsidR="001C349D" w:rsidRDefault="001C349D" w:rsidP="005709D7">
            <w:pPr>
              <w:ind w:left="0"/>
            </w:pPr>
            <w:r>
              <w:t>2024</w:t>
            </w:r>
          </w:p>
        </w:tc>
        <w:tc>
          <w:tcPr>
            <w:tcW w:w="1260" w:type="dxa"/>
          </w:tcPr>
          <w:p w14:paraId="05249DD9" w14:textId="77777777" w:rsidR="001C349D" w:rsidRDefault="001C349D" w:rsidP="005709D7">
            <w:pPr>
              <w:ind w:left="0"/>
            </w:pPr>
            <w:r>
              <w:t>$10 million</w:t>
            </w:r>
          </w:p>
        </w:tc>
        <w:tc>
          <w:tcPr>
            <w:tcW w:w="3574" w:type="dxa"/>
          </w:tcPr>
          <w:p w14:paraId="68C83D42" w14:textId="77777777" w:rsidR="001C349D" w:rsidRDefault="001C349D" w:rsidP="005709D7">
            <w:pPr>
              <w:ind w:left="0"/>
            </w:pPr>
            <w:r>
              <w:t>Bond</w:t>
            </w:r>
          </w:p>
        </w:tc>
      </w:tr>
      <w:tr w:rsidR="001C349D" w14:paraId="64A8E466" w14:textId="77777777" w:rsidTr="005709D7">
        <w:trPr>
          <w:trHeight w:val="242"/>
        </w:trPr>
        <w:tc>
          <w:tcPr>
            <w:tcW w:w="2155" w:type="dxa"/>
          </w:tcPr>
          <w:p w14:paraId="755DD0CD" w14:textId="77777777" w:rsidR="001C349D" w:rsidRDefault="001C349D" w:rsidP="005709D7">
            <w:pPr>
              <w:ind w:left="0"/>
            </w:pPr>
            <w:r>
              <w:t>Henry Lee</w:t>
            </w:r>
          </w:p>
        </w:tc>
        <w:tc>
          <w:tcPr>
            <w:tcW w:w="1260" w:type="dxa"/>
          </w:tcPr>
          <w:p w14:paraId="2B204F32" w14:textId="77777777" w:rsidR="001C349D" w:rsidRDefault="001C349D" w:rsidP="005709D7">
            <w:pPr>
              <w:ind w:left="0"/>
            </w:pPr>
            <w:r>
              <w:t>2024</w:t>
            </w:r>
          </w:p>
        </w:tc>
        <w:tc>
          <w:tcPr>
            <w:tcW w:w="1260" w:type="dxa"/>
          </w:tcPr>
          <w:p w14:paraId="118AFB6C" w14:textId="57017545" w:rsidR="001C349D" w:rsidRDefault="001C349D" w:rsidP="005709D7">
            <w:pPr>
              <w:ind w:left="0"/>
            </w:pPr>
            <w:r>
              <w:t>$1</w:t>
            </w:r>
            <w:r w:rsidR="00557DCC">
              <w:t>8</w:t>
            </w:r>
            <w:r>
              <w:t xml:space="preserve"> million</w:t>
            </w:r>
          </w:p>
        </w:tc>
        <w:tc>
          <w:tcPr>
            <w:tcW w:w="3574" w:type="dxa"/>
          </w:tcPr>
          <w:p w14:paraId="1BDC11F0" w14:textId="4FCC489C" w:rsidR="001C349D" w:rsidRDefault="001B1344" w:rsidP="005709D7">
            <w:pPr>
              <w:ind w:left="0"/>
            </w:pPr>
            <w:r>
              <w:t>FTA 5311 and state funds</w:t>
            </w:r>
          </w:p>
        </w:tc>
      </w:tr>
      <w:tr w:rsidR="001C349D" w14:paraId="5F86A339" w14:textId="77777777" w:rsidTr="005709D7">
        <w:trPr>
          <w:trHeight w:val="242"/>
        </w:trPr>
        <w:tc>
          <w:tcPr>
            <w:tcW w:w="2155" w:type="dxa"/>
          </w:tcPr>
          <w:p w14:paraId="3E4F1072" w14:textId="77777777" w:rsidR="001C349D" w:rsidRDefault="001C349D" w:rsidP="005709D7">
            <w:pPr>
              <w:ind w:left="0"/>
            </w:pPr>
            <w:r>
              <w:t>Margaret Chase Smith</w:t>
            </w:r>
          </w:p>
        </w:tc>
        <w:tc>
          <w:tcPr>
            <w:tcW w:w="1260" w:type="dxa"/>
          </w:tcPr>
          <w:p w14:paraId="7A36B4C3" w14:textId="77777777" w:rsidR="001C349D" w:rsidRDefault="001C349D" w:rsidP="005709D7">
            <w:pPr>
              <w:ind w:left="0"/>
            </w:pPr>
            <w:r>
              <w:t>2027</w:t>
            </w:r>
          </w:p>
        </w:tc>
        <w:tc>
          <w:tcPr>
            <w:tcW w:w="1260" w:type="dxa"/>
          </w:tcPr>
          <w:p w14:paraId="1FC18465" w14:textId="77777777" w:rsidR="001C349D" w:rsidRDefault="001C349D" w:rsidP="005709D7">
            <w:pPr>
              <w:ind w:left="0"/>
            </w:pPr>
            <w:r>
              <w:t xml:space="preserve">$30 million </w:t>
            </w:r>
          </w:p>
        </w:tc>
        <w:tc>
          <w:tcPr>
            <w:tcW w:w="3574" w:type="dxa"/>
          </w:tcPr>
          <w:p w14:paraId="5E00CB5D" w14:textId="77777777" w:rsidR="001C349D" w:rsidRDefault="001C349D" w:rsidP="005709D7">
            <w:pPr>
              <w:ind w:left="0"/>
            </w:pPr>
            <w:r>
              <w:t>TBD</w:t>
            </w:r>
          </w:p>
        </w:tc>
      </w:tr>
      <w:tr w:rsidR="001C349D" w14:paraId="7BCCB910" w14:textId="77777777" w:rsidTr="005709D7">
        <w:trPr>
          <w:trHeight w:val="233"/>
        </w:trPr>
        <w:tc>
          <w:tcPr>
            <w:tcW w:w="2155" w:type="dxa"/>
          </w:tcPr>
          <w:p w14:paraId="4B30A5E3" w14:textId="77777777" w:rsidR="001C349D" w:rsidRDefault="001C349D" w:rsidP="005709D7">
            <w:pPr>
              <w:ind w:left="0"/>
            </w:pPr>
            <w:r>
              <w:t>Neal Burgess</w:t>
            </w:r>
          </w:p>
        </w:tc>
        <w:tc>
          <w:tcPr>
            <w:tcW w:w="1260" w:type="dxa"/>
          </w:tcPr>
          <w:p w14:paraId="2458C9B0" w14:textId="77777777" w:rsidR="001C349D" w:rsidRDefault="001C349D" w:rsidP="005709D7">
            <w:pPr>
              <w:ind w:left="0"/>
            </w:pPr>
            <w:r>
              <w:t>2029</w:t>
            </w:r>
          </w:p>
        </w:tc>
        <w:tc>
          <w:tcPr>
            <w:tcW w:w="1260" w:type="dxa"/>
          </w:tcPr>
          <w:p w14:paraId="7D3E1EB4" w14:textId="77777777" w:rsidR="001C349D" w:rsidRDefault="001C349D" w:rsidP="005709D7">
            <w:pPr>
              <w:ind w:left="0"/>
            </w:pPr>
            <w:r>
              <w:t>$14 million</w:t>
            </w:r>
          </w:p>
        </w:tc>
        <w:tc>
          <w:tcPr>
            <w:tcW w:w="3574" w:type="dxa"/>
          </w:tcPr>
          <w:p w14:paraId="532CE151" w14:textId="77777777" w:rsidR="001C349D" w:rsidRDefault="001C349D" w:rsidP="005709D7">
            <w:pPr>
              <w:ind w:left="0"/>
            </w:pPr>
            <w:r>
              <w:t>TBD</w:t>
            </w:r>
          </w:p>
        </w:tc>
      </w:tr>
    </w:tbl>
    <w:p w14:paraId="3F4D4870" w14:textId="3E62700A" w:rsidR="00EA39B3" w:rsidRDefault="00EA39B3" w:rsidP="00E66D30">
      <w:pPr>
        <w:ind w:left="0"/>
      </w:pPr>
    </w:p>
    <w:p w14:paraId="61710B0B" w14:textId="0C0D2AB5" w:rsidR="00E66D30" w:rsidRPr="007F76D3" w:rsidRDefault="00E66D30" w:rsidP="00E66D30">
      <w:pPr>
        <w:ind w:left="0"/>
        <w:rPr>
          <w:b/>
          <w:bCs/>
        </w:rPr>
      </w:pPr>
      <w:r w:rsidRPr="007F76D3">
        <w:rPr>
          <w:b/>
          <w:bCs/>
        </w:rPr>
        <w:t>Rolling Stock</w:t>
      </w:r>
      <w:r w:rsidR="00DD1D44">
        <w:rPr>
          <w:b/>
          <w:bCs/>
        </w:rPr>
        <w:t xml:space="preserve"> - Ferry</w:t>
      </w:r>
    </w:p>
    <w:p w14:paraId="61626A13" w14:textId="4374625D" w:rsidR="00E66D30" w:rsidRDefault="00E66D30" w:rsidP="00E66D30">
      <w:pPr>
        <w:ind w:left="0"/>
      </w:pPr>
    </w:p>
    <w:p w14:paraId="278901D7" w14:textId="46D0B791" w:rsidR="00E66D30" w:rsidRDefault="00E66D30" w:rsidP="00E66D30">
      <w:pPr>
        <w:ind w:left="0"/>
      </w:pPr>
      <w:r>
        <w:t xml:space="preserve">Maine State Ferry Service has 7 ferry vessels under this category.  One </w:t>
      </w:r>
      <w:r w:rsidR="001C5C7A">
        <w:t>f</w:t>
      </w:r>
      <w:r>
        <w:t>erry</w:t>
      </w:r>
      <w:r w:rsidR="001C5C7A">
        <w:t xml:space="preserve"> vessel</w:t>
      </w:r>
      <w:r>
        <w:t xml:space="preserve"> shows an SGR Status &lt;2.0 in 2021.  The subrecipient has 2 ferry vessels.  </w:t>
      </w:r>
      <w:r w:rsidR="001C5C7A">
        <w:t xml:space="preserve"> None of these ferry vessels show an SGR status &lt;2.0 over the 5-year period.</w:t>
      </w:r>
      <w:r w:rsidR="00DD1D44">
        <w:t xml:space="preserve">  (See Table 24</w:t>
      </w:r>
      <w:r w:rsidR="001F58E8">
        <w:t xml:space="preserve"> – Ferry Vessels)</w:t>
      </w:r>
    </w:p>
    <w:p w14:paraId="7CE39FBF" w14:textId="77777777" w:rsidR="00E66D30" w:rsidRDefault="00E66D30" w:rsidP="007F76D3">
      <w:pPr>
        <w:ind w:left="0"/>
      </w:pPr>
    </w:p>
    <w:p w14:paraId="0185633A" w14:textId="630B0380" w:rsidR="00E13F26" w:rsidRDefault="00E13F26" w:rsidP="00E13F26">
      <w:pPr>
        <w:rPr>
          <w:b/>
          <w:u w:val="single"/>
        </w:rPr>
      </w:pPr>
    </w:p>
    <w:p w14:paraId="5933797E" w14:textId="77777777" w:rsidR="009B73DA" w:rsidRDefault="009B73DA" w:rsidP="009B73DA">
      <w:pPr>
        <w:ind w:left="0"/>
        <w:rPr>
          <w:b/>
          <w:bCs/>
        </w:rPr>
      </w:pPr>
      <w:r>
        <w:rPr>
          <w:b/>
          <w:bCs/>
        </w:rPr>
        <w:lastRenderedPageBreak/>
        <w:t>Non-Revenue Vehicles (NRV) – Equipment (Rescue Boats)</w:t>
      </w:r>
    </w:p>
    <w:p w14:paraId="26C8B124" w14:textId="77777777" w:rsidR="009B73DA" w:rsidRPr="0055009F" w:rsidRDefault="009B73DA" w:rsidP="009B73DA"/>
    <w:p w14:paraId="7C4067CC" w14:textId="6B0A7158" w:rsidR="009B73DA" w:rsidRPr="0055009F" w:rsidRDefault="009B73DA" w:rsidP="009B73DA">
      <w:pPr>
        <w:ind w:left="0"/>
      </w:pPr>
      <w:r w:rsidRPr="0055009F">
        <w:t>The Maine State Ferry Service has 6 rescue boats under the Non-Revenue Vehicle category.</w:t>
      </w:r>
      <w:r>
        <w:t xml:space="preserve">  None of these rescue boats have an SGR ranking &lt;2.0.</w:t>
      </w:r>
      <w:r w:rsidRPr="0055009F">
        <w:t xml:space="preserve">  </w:t>
      </w:r>
      <w:r>
        <w:t>(See Table 2</w:t>
      </w:r>
      <w:r w:rsidR="00DD1D44">
        <w:t>4</w:t>
      </w:r>
      <w:r>
        <w:t xml:space="preserve"> – Rescue Boats)</w:t>
      </w:r>
    </w:p>
    <w:p w14:paraId="3892221D" w14:textId="77777777" w:rsidR="009B73DA" w:rsidRPr="00E13F26" w:rsidRDefault="009B73DA" w:rsidP="00E13F26">
      <w:pPr>
        <w:rPr>
          <w:b/>
          <w:u w:val="single"/>
        </w:rPr>
      </w:pPr>
    </w:p>
    <w:p w14:paraId="356735FC" w14:textId="538EE50E" w:rsidR="003C0293" w:rsidRDefault="003C0293" w:rsidP="003C0293"/>
    <w:p w14:paraId="2BF62221" w14:textId="1C880FE0" w:rsidR="003C0293" w:rsidRDefault="003C0293" w:rsidP="003C0293"/>
    <w:p w14:paraId="2AD5CD95" w14:textId="673C925C" w:rsidR="003C0293" w:rsidRDefault="003C0293" w:rsidP="003C0293"/>
    <w:p w14:paraId="19C7CD55" w14:textId="211CFDAA" w:rsidR="003C0293" w:rsidRDefault="003C0293" w:rsidP="003C0293"/>
    <w:p w14:paraId="703C16AE" w14:textId="4C3F0CB1" w:rsidR="003C0293" w:rsidRDefault="003C0293" w:rsidP="003C0293"/>
    <w:p w14:paraId="29D6C954" w14:textId="2FF66BFD" w:rsidR="003C0293" w:rsidRDefault="003C0293" w:rsidP="003C0293"/>
    <w:p w14:paraId="1B99A5E6" w14:textId="707E2BFD" w:rsidR="003C0293" w:rsidRDefault="003C0293" w:rsidP="003C0293"/>
    <w:p w14:paraId="336A7508" w14:textId="161891F2" w:rsidR="003C0293" w:rsidRDefault="003C0293" w:rsidP="003C0293"/>
    <w:p w14:paraId="47A3A2D1" w14:textId="6BAA04B7" w:rsidR="003C0293" w:rsidRDefault="003C0293" w:rsidP="003C0293"/>
    <w:p w14:paraId="609771F6" w14:textId="77777777" w:rsidR="00A627CA" w:rsidRDefault="00A627CA" w:rsidP="003C0293">
      <w:pPr>
        <w:sectPr w:rsidR="00A627CA" w:rsidSect="00082B29">
          <w:headerReference w:type="default" r:id="rId30"/>
          <w:footerReference w:type="default" r:id="rId31"/>
          <w:pgSz w:w="12240" w:h="15840"/>
          <w:pgMar w:top="1440" w:right="1440" w:bottom="1440" w:left="1440" w:header="720" w:footer="720" w:gutter="0"/>
          <w:cols w:space="720"/>
          <w:docGrid w:linePitch="360"/>
        </w:sectPr>
      </w:pPr>
    </w:p>
    <w:p w14:paraId="6A6EE849" w14:textId="77777777" w:rsidR="003C0293" w:rsidRPr="003C0293" w:rsidRDefault="003C0293" w:rsidP="003C0293"/>
    <w:p w14:paraId="7CF93CA9" w14:textId="05410E6B" w:rsidR="00A007A1" w:rsidRDefault="005A4B30" w:rsidP="00260360">
      <w:pPr>
        <w:pStyle w:val="Heading1"/>
      </w:pPr>
      <w:bookmarkStart w:id="26" w:name="_Toc527365849"/>
      <w:r>
        <w:t>Appendix 1 Rolling Stock Inventory</w:t>
      </w:r>
      <w:bookmarkEnd w:id="26"/>
      <w:r>
        <w:t xml:space="preserve"> </w:t>
      </w:r>
    </w:p>
    <w:p w14:paraId="6F8B489F" w14:textId="15A31C9C" w:rsidR="00FD7E2C" w:rsidRDefault="00311374" w:rsidP="000D0EEE">
      <w:r w:rsidRPr="00311374">
        <w:rPr>
          <w:noProof/>
        </w:rPr>
        <mc:AlternateContent>
          <mc:Choice Requires="wps">
            <w:drawing>
              <wp:anchor distT="0" distB="0" distL="114300" distR="114300" simplePos="0" relativeHeight="251688960" behindDoc="0" locked="0" layoutInCell="1" allowOverlap="1" wp14:anchorId="5F9015AD" wp14:editId="61816676">
                <wp:simplePos x="0" y="0"/>
                <wp:positionH relativeFrom="column">
                  <wp:posOffset>87630</wp:posOffset>
                </wp:positionH>
                <wp:positionV relativeFrom="paragraph">
                  <wp:posOffset>20955</wp:posOffset>
                </wp:positionV>
                <wp:extent cx="5967730" cy="0"/>
                <wp:effectExtent l="0" t="0" r="33020" b="19050"/>
                <wp:wrapNone/>
                <wp:docPr id="3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straightConnector1">
                          <a:avLst/>
                        </a:prstGeom>
                        <a:noFill/>
                        <a:ln w="9525">
                          <a:solidFill>
                            <a:srgbClr val="6C00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7F50A4C" id="AutoShape 44" o:spid="_x0000_s1026" type="#_x0000_t32" style="position:absolute;margin-left:6.9pt;margin-top:1.65pt;width:469.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" strokecolor="#6c006c"/>
            </w:pict>
          </mc:Fallback>
        </mc:AlternateContent>
      </w:r>
    </w:p>
    <w:p w14:paraId="24D4E519" w14:textId="5B3C077A" w:rsidR="000D0EEE" w:rsidRDefault="000D0EEE" w:rsidP="000D0EEE"/>
    <w:p w14:paraId="1665BB8A" w14:textId="56E091F9" w:rsidR="000D0EEE" w:rsidRPr="000B24EC" w:rsidRDefault="0045279E" w:rsidP="000D0EEE">
      <w:pPr>
        <w:rPr>
          <w:b/>
          <w:bCs/>
        </w:rPr>
      </w:pPr>
      <w:r w:rsidRPr="000B24EC">
        <w:rPr>
          <w:b/>
          <w:bCs/>
        </w:rPr>
        <w:t>LAND-BASED SUBRECIPIENTS – INVENTORY LISTS</w:t>
      </w:r>
      <w:r w:rsidR="00436817">
        <w:rPr>
          <w:b/>
          <w:bCs/>
        </w:rPr>
        <w:t>*</w:t>
      </w:r>
    </w:p>
    <w:p w14:paraId="19979CC3" w14:textId="6865B469" w:rsidR="0045279E" w:rsidRDefault="0045279E" w:rsidP="000D0EEE"/>
    <w:p w14:paraId="20C71C9A" w14:textId="5F67F253" w:rsidR="0045279E" w:rsidRDefault="0045279E" w:rsidP="000D0EEE">
      <w:r>
        <w:t>Aroostook Regional Transportation System (ARTS)</w:t>
      </w:r>
    </w:p>
    <w:p w14:paraId="31C83BB6" w14:textId="17CFD838" w:rsidR="0045279E" w:rsidRDefault="0045279E" w:rsidP="000D0EEE">
      <w:r>
        <w:t>City of Bath</w:t>
      </w:r>
    </w:p>
    <w:p w14:paraId="1BA68D93" w14:textId="2BD90522" w:rsidR="0045279E" w:rsidRDefault="0045279E" w:rsidP="000D0EEE">
      <w:r>
        <w:t>Downcast Community Partners (DCP)</w:t>
      </w:r>
    </w:p>
    <w:p w14:paraId="324A9BBE" w14:textId="6BA029F4" w:rsidR="0045279E" w:rsidRDefault="0045279E" w:rsidP="000D0EEE">
      <w:r>
        <w:t>Downcast Transportation Inc., (DTI)</w:t>
      </w:r>
    </w:p>
    <w:p w14:paraId="56105DF0" w14:textId="63C3FE99" w:rsidR="0045279E" w:rsidRDefault="0045279E" w:rsidP="000D0EEE">
      <w:r>
        <w:t>Kennebec Valley Community Action Program (KVCAP)</w:t>
      </w:r>
    </w:p>
    <w:p w14:paraId="710B2A57" w14:textId="13F1F696" w:rsidR="0045279E" w:rsidRDefault="0045279E" w:rsidP="000D0EEE">
      <w:r>
        <w:t>Penquis CAP (Penquis)</w:t>
      </w:r>
    </w:p>
    <w:p w14:paraId="448D8D9E" w14:textId="65F27438" w:rsidR="0045279E" w:rsidRDefault="0045279E" w:rsidP="000D0EEE">
      <w:r>
        <w:t>Regional Transportation Program (RTP)</w:t>
      </w:r>
    </w:p>
    <w:p w14:paraId="21617FDB" w14:textId="08DF21E7" w:rsidR="0045279E" w:rsidRDefault="0045279E" w:rsidP="000D0EEE">
      <w:r>
        <w:t>Waldo Community Action Partners (WCAP)</w:t>
      </w:r>
    </w:p>
    <w:p w14:paraId="73246013" w14:textId="690CEBDA" w:rsidR="0045279E" w:rsidRDefault="0045279E" w:rsidP="000D0EEE">
      <w:r>
        <w:t>West’s Transportation (West’s)</w:t>
      </w:r>
    </w:p>
    <w:p w14:paraId="2FC0FD36" w14:textId="58A15FD7" w:rsidR="0045279E" w:rsidRDefault="0045279E" w:rsidP="000D0EEE">
      <w:r>
        <w:t>Western Maine Transportation Services (WMTS)</w:t>
      </w:r>
    </w:p>
    <w:p w14:paraId="558D8074" w14:textId="41E6B05E" w:rsidR="0045279E" w:rsidRDefault="0045279E" w:rsidP="000D0EEE">
      <w:r>
        <w:t>York County Community Action Corp (YCCAC)</w:t>
      </w:r>
    </w:p>
    <w:p w14:paraId="4A08EA41" w14:textId="530F8CDD" w:rsidR="0045279E" w:rsidRDefault="0045279E" w:rsidP="000D0EEE"/>
    <w:p w14:paraId="169BDE8B" w14:textId="004CE11E" w:rsidR="0045279E" w:rsidRPr="000B24EC" w:rsidRDefault="0045279E" w:rsidP="000D0EEE">
      <w:pPr>
        <w:rPr>
          <w:b/>
          <w:bCs/>
        </w:rPr>
      </w:pPr>
      <w:r w:rsidRPr="000B24EC">
        <w:rPr>
          <w:b/>
          <w:bCs/>
        </w:rPr>
        <w:t>WATER-BASED SUBRECIPIENTS – INVENTORY LIST</w:t>
      </w:r>
      <w:r w:rsidR="00436817">
        <w:rPr>
          <w:b/>
          <w:bCs/>
        </w:rPr>
        <w:t>*</w:t>
      </w:r>
    </w:p>
    <w:p w14:paraId="469B74E5" w14:textId="54E06283" w:rsidR="0045279E" w:rsidRDefault="0045279E" w:rsidP="000D0EEE"/>
    <w:p w14:paraId="3F3015F4" w14:textId="370E5B5F" w:rsidR="0045279E" w:rsidRDefault="0045279E" w:rsidP="000D0EEE">
      <w:r>
        <w:t>Isle au Haut</w:t>
      </w:r>
    </w:p>
    <w:p w14:paraId="3CD41458" w14:textId="2F1D3CBA" w:rsidR="0045279E" w:rsidRDefault="0045279E" w:rsidP="000D0EEE"/>
    <w:p w14:paraId="0FAF6D5C" w14:textId="2064DF57" w:rsidR="0045279E" w:rsidRPr="000B24EC" w:rsidRDefault="0045279E" w:rsidP="000D0EEE">
      <w:pPr>
        <w:rPr>
          <w:b/>
          <w:bCs/>
        </w:rPr>
      </w:pPr>
      <w:r w:rsidRPr="000B24EC">
        <w:rPr>
          <w:b/>
          <w:bCs/>
        </w:rPr>
        <w:t>MaineDOT WATER- BASED PROVIDER – Inventory List</w:t>
      </w:r>
      <w:r w:rsidR="00436817">
        <w:rPr>
          <w:b/>
          <w:bCs/>
        </w:rPr>
        <w:t>*</w:t>
      </w:r>
    </w:p>
    <w:p w14:paraId="1AB806C4" w14:textId="20E83A89" w:rsidR="0045279E" w:rsidRDefault="0045279E" w:rsidP="000D0EEE"/>
    <w:p w14:paraId="081A6F7E" w14:textId="21D638A3" w:rsidR="0045279E" w:rsidRDefault="0045279E" w:rsidP="000D0EEE">
      <w:r>
        <w:t>Maine State Ferry Service</w:t>
      </w:r>
    </w:p>
    <w:p w14:paraId="324793F7" w14:textId="77777777" w:rsidR="0045279E" w:rsidRDefault="0045279E" w:rsidP="000D0EEE"/>
    <w:p w14:paraId="35FC5060" w14:textId="77777777" w:rsidR="0045279E" w:rsidRDefault="0045279E" w:rsidP="000D0EEE"/>
    <w:p w14:paraId="11EB1320" w14:textId="77777777" w:rsidR="000D0EEE" w:rsidRDefault="000D0EEE" w:rsidP="000D0EEE"/>
    <w:p w14:paraId="3FDCF68C" w14:textId="77777777" w:rsidR="00B16FBF" w:rsidRDefault="00B16FBF" w:rsidP="000D0EEE"/>
    <w:p w14:paraId="5CD8B062" w14:textId="3CA551FF" w:rsidR="00436817" w:rsidRDefault="00436817" w:rsidP="00436817">
      <w:r>
        <w:t>*</w:t>
      </w:r>
      <w:r w:rsidR="003D1E60">
        <w:t>See</w:t>
      </w:r>
      <w:r>
        <w:t xml:space="preserve"> Separate Documents</w:t>
      </w:r>
    </w:p>
    <w:p w14:paraId="1AEB2D9B" w14:textId="77777777" w:rsidR="00B16FBF" w:rsidRDefault="00B16FBF" w:rsidP="000D0EEE"/>
    <w:p w14:paraId="4B41577E" w14:textId="77777777" w:rsidR="00B16FBF" w:rsidRDefault="00B16FBF" w:rsidP="000D0EEE"/>
    <w:p w14:paraId="24C661DB" w14:textId="77777777" w:rsidR="00B16FBF" w:rsidRDefault="00B16FBF" w:rsidP="000D0EEE"/>
    <w:p w14:paraId="69A4C34E" w14:textId="77777777" w:rsidR="00B16FBF" w:rsidRDefault="00B16FBF" w:rsidP="000D0EEE"/>
    <w:p w14:paraId="70E582BD" w14:textId="77777777" w:rsidR="00B16FBF" w:rsidRDefault="00B16FBF" w:rsidP="000D0EEE"/>
    <w:p w14:paraId="2FD59315" w14:textId="77777777" w:rsidR="00B16FBF" w:rsidRDefault="00B16FBF" w:rsidP="000D0EEE"/>
    <w:p w14:paraId="51583A4A" w14:textId="77777777" w:rsidR="00A627CA" w:rsidRDefault="00A627CA" w:rsidP="000D0EEE">
      <w:pPr>
        <w:sectPr w:rsidR="00A627CA" w:rsidSect="00A627CA">
          <w:pgSz w:w="12240" w:h="15840"/>
          <w:pgMar w:top="1440" w:right="1440" w:bottom="1440" w:left="1440" w:header="720" w:footer="720" w:gutter="0"/>
          <w:cols w:space="720"/>
          <w:docGrid w:linePitch="360"/>
        </w:sectPr>
      </w:pPr>
    </w:p>
    <w:p w14:paraId="01D07948" w14:textId="07255DC5" w:rsidR="00F56EBA" w:rsidRDefault="00F56EBA" w:rsidP="00260360">
      <w:pPr>
        <w:pStyle w:val="Heading1"/>
      </w:pPr>
      <w:bookmarkStart w:id="27" w:name="_Toc527365850"/>
      <w:r>
        <w:lastRenderedPageBreak/>
        <w:t>Appendix 2</w:t>
      </w:r>
      <w:r w:rsidR="00260360">
        <w:t xml:space="preserve"> </w:t>
      </w:r>
      <w:r>
        <w:t>Facility Inventory by Subrecipient</w:t>
      </w:r>
      <w:bookmarkEnd w:id="27"/>
    </w:p>
    <w:p w14:paraId="2A64263C" w14:textId="3F8B14ED" w:rsidR="00F56EBA" w:rsidRDefault="00311374" w:rsidP="000D0EEE">
      <w:r w:rsidRPr="00311374">
        <w:rPr>
          <w:noProof/>
        </w:rPr>
        <mc:AlternateContent>
          <mc:Choice Requires="wps">
            <w:drawing>
              <wp:anchor distT="0" distB="0" distL="114300" distR="114300" simplePos="0" relativeHeight="251692032" behindDoc="0" locked="0" layoutInCell="1" allowOverlap="1" wp14:anchorId="472A72A4" wp14:editId="0C153668">
                <wp:simplePos x="0" y="0"/>
                <wp:positionH relativeFrom="column">
                  <wp:posOffset>78105</wp:posOffset>
                </wp:positionH>
                <wp:positionV relativeFrom="paragraph">
                  <wp:posOffset>39370</wp:posOffset>
                </wp:positionV>
                <wp:extent cx="5967730" cy="0"/>
                <wp:effectExtent l="0" t="0" r="33020" b="19050"/>
                <wp:wrapNone/>
                <wp:docPr id="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straightConnector1">
                          <a:avLst/>
                        </a:prstGeom>
                        <a:noFill/>
                        <a:ln w="9525">
                          <a:solidFill>
                            <a:srgbClr val="6C00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A8F2EF" id="AutoShape 44" o:spid="_x0000_s1026" type="#_x0000_t32" style="position:absolute;margin-left:6.15pt;margin-top:3.1pt;width:469.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" strokecolor="#6c006c"/>
            </w:pict>
          </mc:Fallback>
        </mc:AlternateContent>
      </w:r>
    </w:p>
    <w:p w14:paraId="105EEC3B" w14:textId="37571A00" w:rsidR="00F56EBA" w:rsidRDefault="00F56EBA" w:rsidP="000D0EEE"/>
    <w:p w14:paraId="3D39E8F8" w14:textId="7F49BDC0" w:rsidR="00F56EBA" w:rsidRDefault="00EF0F85" w:rsidP="000D0EEE">
      <w:r>
        <w:rPr>
          <w:b/>
          <w:bCs/>
        </w:rPr>
        <w:t>LAND-BASED FACILITIES</w:t>
      </w:r>
    </w:p>
    <w:p w14:paraId="4B015DB8" w14:textId="0E753623" w:rsidR="00BF6BB3" w:rsidRDefault="00BF6BB3" w:rsidP="000D0EEE"/>
    <w:p w14:paraId="41AA8B78" w14:textId="27D0753D" w:rsidR="00BF6BB3" w:rsidRDefault="00BF6BB3" w:rsidP="000D0EEE">
      <w:r>
        <w:t>Aroostook Regional Transportation System</w:t>
      </w:r>
    </w:p>
    <w:p w14:paraId="4C2CC92B" w14:textId="49BD010F" w:rsidR="00BF6BB3" w:rsidRDefault="00BF6BB3" w:rsidP="000D0EEE">
      <w:r>
        <w:t>Acadia Gateway Center</w:t>
      </w:r>
    </w:p>
    <w:p w14:paraId="72DE67D3" w14:textId="7C9A4925" w:rsidR="00BF6BB3" w:rsidRDefault="00BF6BB3" w:rsidP="000D0EEE">
      <w:r>
        <w:t>Regional Transportation Program</w:t>
      </w:r>
    </w:p>
    <w:p w14:paraId="03AC7F13" w14:textId="3EAB9513" w:rsidR="00BF6BB3" w:rsidRDefault="00BF6BB3" w:rsidP="000D0EEE">
      <w:r>
        <w:t>West Bus Service</w:t>
      </w:r>
    </w:p>
    <w:p w14:paraId="5782BCD0" w14:textId="56E5D22E" w:rsidR="00BF6BB3" w:rsidRDefault="00BF6BB3" w:rsidP="000D0EEE">
      <w:r>
        <w:t>Western Maine Transportation Services</w:t>
      </w:r>
    </w:p>
    <w:p w14:paraId="4AF93EAA" w14:textId="45F501A8" w:rsidR="00BF6BB3" w:rsidRDefault="00BF6BB3" w:rsidP="000D0EEE"/>
    <w:p w14:paraId="634D758D" w14:textId="23AC7E6D" w:rsidR="00BF6BB3" w:rsidRDefault="00BF6BB3" w:rsidP="000D0EEE">
      <w:r>
        <w:rPr>
          <w:b/>
          <w:bCs/>
        </w:rPr>
        <w:t>WA</w:t>
      </w:r>
      <w:r w:rsidR="006539E4">
        <w:rPr>
          <w:b/>
          <w:bCs/>
        </w:rPr>
        <w:t>T</w:t>
      </w:r>
      <w:r>
        <w:rPr>
          <w:b/>
          <w:bCs/>
        </w:rPr>
        <w:t>ER-BASED FACILTI</w:t>
      </w:r>
      <w:r w:rsidR="00FF7A8A">
        <w:rPr>
          <w:b/>
          <w:bCs/>
        </w:rPr>
        <w:t>IE</w:t>
      </w:r>
      <w:r>
        <w:rPr>
          <w:b/>
          <w:bCs/>
        </w:rPr>
        <w:t>S</w:t>
      </w:r>
    </w:p>
    <w:p w14:paraId="21477FFE" w14:textId="4F060219" w:rsidR="00BF6BB3" w:rsidRDefault="00BF6BB3" w:rsidP="000D0EEE"/>
    <w:p w14:paraId="348B5638" w14:textId="26216473" w:rsidR="00BF6BB3" w:rsidRDefault="00BF6BB3" w:rsidP="000D0EEE">
      <w:r>
        <w:t>Isle au Haut – Stonington Facility</w:t>
      </w:r>
    </w:p>
    <w:p w14:paraId="6A174FB0" w14:textId="1B5910D2" w:rsidR="00BF6BB3" w:rsidRDefault="00BF6BB3" w:rsidP="000D0EEE"/>
    <w:p w14:paraId="7317AFA4" w14:textId="77777777" w:rsidR="00BF6BB3" w:rsidRDefault="00BF6BB3" w:rsidP="00BF6BB3">
      <w:r>
        <w:rPr>
          <w:u w:val="single"/>
        </w:rPr>
        <w:t>Pier</w:t>
      </w:r>
      <w:r>
        <w:rPr>
          <w:u w:val="single"/>
        </w:rPr>
        <w:tab/>
      </w:r>
      <w:r>
        <w:rPr>
          <w:u w:val="single"/>
        </w:rPr>
        <w:tab/>
      </w:r>
      <w:r>
        <w:rPr>
          <w:u w:val="single"/>
        </w:rPr>
        <w:tab/>
      </w:r>
      <w:r>
        <w:tab/>
      </w:r>
      <w:r>
        <w:tab/>
      </w:r>
      <w:r>
        <w:tab/>
      </w:r>
      <w:r>
        <w:tab/>
      </w:r>
      <w:r>
        <w:rPr>
          <w:u w:val="single"/>
        </w:rPr>
        <w:t>Terminal</w:t>
      </w:r>
    </w:p>
    <w:p w14:paraId="340CA126" w14:textId="638F007A" w:rsidR="00BF6BB3" w:rsidRDefault="00BF6BB3" w:rsidP="000D0EEE"/>
    <w:p w14:paraId="142CCC52" w14:textId="77777777" w:rsidR="00BF6BB3" w:rsidRDefault="00BF6BB3" w:rsidP="00BF6BB3">
      <w:r>
        <w:t>Little Diamond Island</w:t>
      </w:r>
      <w:r>
        <w:tab/>
      </w:r>
      <w:r>
        <w:tab/>
      </w:r>
      <w:r>
        <w:tab/>
      </w:r>
      <w:r>
        <w:tab/>
        <w:t>Rockland</w:t>
      </w:r>
    </w:p>
    <w:p w14:paraId="667E2FB1" w14:textId="77777777" w:rsidR="00BF6BB3" w:rsidRDefault="00BF6BB3" w:rsidP="00BF6BB3">
      <w:r>
        <w:t>Great Diamond Island Pier</w:t>
      </w:r>
      <w:r>
        <w:tab/>
      </w:r>
      <w:r>
        <w:tab/>
      </w:r>
      <w:r>
        <w:tab/>
      </w:r>
      <w:r>
        <w:tab/>
        <w:t>Vinalhaven</w:t>
      </w:r>
    </w:p>
    <w:p w14:paraId="5B277304" w14:textId="77777777" w:rsidR="00BF6BB3" w:rsidRDefault="00BF6BB3" w:rsidP="00BF6BB3">
      <w:r>
        <w:t>Chebeague Island Pier</w:t>
      </w:r>
      <w:r>
        <w:tab/>
      </w:r>
      <w:r>
        <w:tab/>
      </w:r>
      <w:r>
        <w:tab/>
      </w:r>
      <w:r>
        <w:tab/>
        <w:t>North Haven</w:t>
      </w:r>
    </w:p>
    <w:p w14:paraId="20730FA7" w14:textId="77777777" w:rsidR="00BF6BB3" w:rsidRDefault="00BF6BB3" w:rsidP="00BF6BB3">
      <w:r>
        <w:t>Long Island Pier</w:t>
      </w:r>
      <w:r>
        <w:tab/>
      </w:r>
      <w:r>
        <w:tab/>
      </w:r>
      <w:r>
        <w:tab/>
      </w:r>
      <w:r>
        <w:tab/>
      </w:r>
      <w:r>
        <w:tab/>
        <w:t>Lincolnville</w:t>
      </w:r>
    </w:p>
    <w:p w14:paraId="0F35BB1F" w14:textId="77777777" w:rsidR="00BF6BB3" w:rsidRDefault="00BF6BB3" w:rsidP="00BF6BB3">
      <w:r>
        <w:t>Peaks island Pier</w:t>
      </w:r>
      <w:r>
        <w:tab/>
      </w:r>
      <w:r>
        <w:tab/>
      </w:r>
      <w:r>
        <w:tab/>
      </w:r>
      <w:r>
        <w:tab/>
      </w:r>
      <w:r>
        <w:tab/>
        <w:t>Isleboro</w:t>
      </w:r>
    </w:p>
    <w:p w14:paraId="6FA6F83E" w14:textId="27C72C1F" w:rsidR="00BF6BB3" w:rsidRDefault="00BF6BB3" w:rsidP="000D0EEE">
      <w:r>
        <w:t>Rock</w:t>
      </w:r>
      <w:r w:rsidR="00EC6B82">
        <w:t>land</w:t>
      </w:r>
      <w:r>
        <w:tab/>
      </w:r>
      <w:r>
        <w:tab/>
      </w:r>
      <w:r>
        <w:tab/>
      </w:r>
      <w:r>
        <w:tab/>
      </w:r>
      <w:r>
        <w:tab/>
      </w:r>
      <w:r>
        <w:tab/>
        <w:t>Bass Harbor</w:t>
      </w:r>
    </w:p>
    <w:p w14:paraId="75CC58BC" w14:textId="613594EF" w:rsidR="00BF6BB3" w:rsidRDefault="00BF6BB3" w:rsidP="000D0EEE">
      <w:r>
        <w:t>Swans Island</w:t>
      </w:r>
      <w:r>
        <w:tab/>
      </w:r>
      <w:r>
        <w:tab/>
      </w:r>
      <w:r>
        <w:tab/>
      </w:r>
      <w:r>
        <w:tab/>
      </w:r>
      <w:r>
        <w:tab/>
        <w:t>Swans Island</w:t>
      </w:r>
    </w:p>
    <w:p w14:paraId="3F1718AF" w14:textId="77777777" w:rsidR="00BF6BB3" w:rsidRDefault="00BF6BB3" w:rsidP="000D0EEE"/>
    <w:p w14:paraId="6451EB69" w14:textId="54C5A399" w:rsidR="00BF6BB3" w:rsidRDefault="00BF6BB3" w:rsidP="000D0EEE">
      <w:r>
        <w:t>Isle au Haut – Stonington Facility</w:t>
      </w:r>
    </w:p>
    <w:p w14:paraId="3D22095C" w14:textId="5DCDF406" w:rsidR="00BF6BB3" w:rsidRDefault="00BF6BB3" w:rsidP="000D0EEE"/>
    <w:p w14:paraId="5CCC54FF" w14:textId="6A072959" w:rsidR="00BF6BB3" w:rsidRDefault="00BF6BB3" w:rsidP="000D0EEE"/>
    <w:p w14:paraId="2FCA347E" w14:textId="46BAA17A" w:rsidR="00BF6BB3" w:rsidRDefault="00FF7A8A" w:rsidP="000D0EEE">
      <w:r>
        <w:rPr>
          <w:u w:val="single"/>
        </w:rPr>
        <w:t>Transfer Bridge</w:t>
      </w:r>
      <w:r>
        <w:rPr>
          <w:u w:val="single"/>
        </w:rPr>
        <w:tab/>
      </w:r>
      <w:r>
        <w:tab/>
      </w:r>
      <w:r>
        <w:tab/>
      </w:r>
      <w:r>
        <w:tab/>
      </w:r>
      <w:r>
        <w:tab/>
      </w:r>
      <w:r w:rsidR="00BF6BB3">
        <w:rPr>
          <w:u w:val="single"/>
        </w:rPr>
        <w:t>Surface Parking Lot</w:t>
      </w:r>
    </w:p>
    <w:p w14:paraId="379818DD" w14:textId="60FEB07F" w:rsidR="00BF6BB3" w:rsidRDefault="00BF6BB3" w:rsidP="000D0EEE"/>
    <w:p w14:paraId="25C5ECA7" w14:textId="238C0A5D" w:rsidR="00BF6BB3" w:rsidRDefault="00FF7A8A" w:rsidP="000D0EEE">
      <w:r>
        <w:t>Vinalhaven</w:t>
      </w:r>
      <w:r>
        <w:tab/>
      </w:r>
      <w:r>
        <w:tab/>
      </w:r>
      <w:r>
        <w:tab/>
      </w:r>
      <w:r>
        <w:tab/>
      </w:r>
      <w:r>
        <w:tab/>
      </w:r>
      <w:r>
        <w:tab/>
      </w:r>
      <w:r w:rsidR="00BF6BB3">
        <w:t>Rockland</w:t>
      </w:r>
    </w:p>
    <w:p w14:paraId="5941E90A" w14:textId="2C96BEC5" w:rsidR="00BF6BB3" w:rsidRDefault="00FF7A8A" w:rsidP="000D0EEE">
      <w:r>
        <w:t>Isleboro</w:t>
      </w:r>
    </w:p>
    <w:p w14:paraId="2E216555" w14:textId="7680B54A" w:rsidR="00FF7A8A" w:rsidRDefault="00FF7A8A" w:rsidP="000D0EEE">
      <w:r>
        <w:t>Lincolnville</w:t>
      </w:r>
    </w:p>
    <w:p w14:paraId="42B7C3EE" w14:textId="59FAE028" w:rsidR="00FF7A8A" w:rsidRDefault="00FF7A8A" w:rsidP="000D0EEE">
      <w:r>
        <w:t>Matinicus</w:t>
      </w:r>
    </w:p>
    <w:p w14:paraId="08765034" w14:textId="50ABA09C" w:rsidR="00FF7A8A" w:rsidRDefault="00FF7A8A" w:rsidP="000D0EEE">
      <w:r>
        <w:t>Bass Harbor</w:t>
      </w:r>
    </w:p>
    <w:p w14:paraId="74750F62" w14:textId="125B1841" w:rsidR="00FF7A8A" w:rsidRDefault="00FF7A8A" w:rsidP="000D0EEE">
      <w:r>
        <w:t>Swans Island</w:t>
      </w:r>
    </w:p>
    <w:p w14:paraId="4BBE3E5E" w14:textId="6951FEEE" w:rsidR="00FF7A8A" w:rsidRDefault="00FF7A8A" w:rsidP="000D0EEE">
      <w:r>
        <w:t>Frenchboro</w:t>
      </w:r>
    </w:p>
    <w:p w14:paraId="09ADF071" w14:textId="10CE6013" w:rsidR="00FF7A8A" w:rsidRDefault="00FF7A8A" w:rsidP="000D0EEE">
      <w:r>
        <w:t>Rockland Transfer Bridge 1</w:t>
      </w:r>
    </w:p>
    <w:p w14:paraId="58486110" w14:textId="5C454952" w:rsidR="00FF7A8A" w:rsidRDefault="00FF7A8A" w:rsidP="000D0EEE">
      <w:r>
        <w:t>Rockland Transfer Bridge 2</w:t>
      </w:r>
    </w:p>
    <w:p w14:paraId="691AA87A" w14:textId="08200D51" w:rsidR="00FF7A8A" w:rsidRDefault="00FF7A8A" w:rsidP="000D0EEE">
      <w:r>
        <w:t>North Haven Transfer Bridge</w:t>
      </w:r>
    </w:p>
    <w:p w14:paraId="270525F9" w14:textId="1C94E95F" w:rsidR="00BF6BB3" w:rsidRDefault="00BF6BB3" w:rsidP="000D0EEE"/>
    <w:p w14:paraId="1699FBBB" w14:textId="7B86E0B6" w:rsidR="001A16B3" w:rsidRDefault="001A16B3" w:rsidP="001A16B3">
      <w:r>
        <w:t>*</w:t>
      </w:r>
      <w:r w:rsidR="003D1E60">
        <w:t xml:space="preserve">See </w:t>
      </w:r>
      <w:r>
        <w:t>Separate Document</w:t>
      </w:r>
    </w:p>
    <w:p w14:paraId="339AE606" w14:textId="2917CEF4" w:rsidR="00BF6BB3" w:rsidRDefault="00BF6BB3" w:rsidP="000D0EEE"/>
    <w:p w14:paraId="116B3C5D" w14:textId="59F76778" w:rsidR="00FF7A8A" w:rsidRDefault="00FF7A8A" w:rsidP="000D0EEE"/>
    <w:p w14:paraId="247A0BC0" w14:textId="5787DF9F" w:rsidR="0078636B" w:rsidRDefault="0078636B">
      <w:pPr>
        <w:spacing w:after="200" w:line="276" w:lineRule="auto"/>
        <w:ind w:left="0"/>
      </w:pPr>
    </w:p>
    <w:p w14:paraId="57DFC520" w14:textId="28F7B023" w:rsidR="00EB5750" w:rsidRDefault="00EB5750" w:rsidP="00EB5750">
      <w:pPr>
        <w:pStyle w:val="Heading1"/>
      </w:pPr>
      <w:r>
        <w:lastRenderedPageBreak/>
        <w:t>Appendix 3 accountable executive</w:t>
      </w:r>
    </w:p>
    <w:p w14:paraId="3E9A4453" w14:textId="240B4519" w:rsidR="00EB5750" w:rsidRDefault="00EB5750" w:rsidP="00EB5750">
      <w:r w:rsidRPr="00311374">
        <w:rPr>
          <w:noProof/>
        </w:rPr>
        <mc:AlternateContent>
          <mc:Choice Requires="wps">
            <w:drawing>
              <wp:anchor distT="0" distB="0" distL="114300" distR="114300" simplePos="0" relativeHeight="251706368" behindDoc="0" locked="0" layoutInCell="1" allowOverlap="1" wp14:anchorId="3F3C0CFA" wp14:editId="7DCAB114">
                <wp:simplePos x="0" y="0"/>
                <wp:positionH relativeFrom="column">
                  <wp:posOffset>87630</wp:posOffset>
                </wp:positionH>
                <wp:positionV relativeFrom="paragraph">
                  <wp:posOffset>20955</wp:posOffset>
                </wp:positionV>
                <wp:extent cx="5967730" cy="0"/>
                <wp:effectExtent l="0" t="0" r="33020" b="1905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straightConnector1">
                          <a:avLst/>
                        </a:prstGeom>
                        <a:noFill/>
                        <a:ln w="9525">
                          <a:solidFill>
                            <a:srgbClr val="6C00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5DD4F" id="_x0000_t32" coordsize="21600,21600" o:spt="32" o:oned="t" path="m,l21600,21600e" filled="f">
                <v:path arrowok="t" fillok="f" o:connecttype="none"/>
                <o:lock v:ext="edit" shapetype="t"/>
              </v:shapetype>
              <v:shape id="AutoShape 44" o:spid="_x0000_s1026" type="#_x0000_t32" style="position:absolute;margin-left:6.9pt;margin-top:1.65pt;width:469.9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" strokecolor="#6c006c"/>
            </w:pict>
          </mc:Fallback>
        </mc:AlternateContent>
      </w:r>
    </w:p>
    <w:tbl>
      <w:tblPr>
        <w:tblW w:w="9960" w:type="dxa"/>
        <w:tblLayout w:type="fixed"/>
        <w:tblLook w:val="04A0" w:firstRow="1" w:lastRow="0" w:firstColumn="1" w:lastColumn="0" w:noHBand="0" w:noVBand="1"/>
      </w:tblPr>
      <w:tblGrid>
        <w:gridCol w:w="2155"/>
        <w:gridCol w:w="900"/>
        <w:gridCol w:w="1980"/>
        <w:gridCol w:w="2700"/>
        <w:gridCol w:w="2225"/>
      </w:tblGrid>
      <w:tr w:rsidR="00EB5750" w:rsidRPr="00EB5750" w14:paraId="34B6FBE5" w14:textId="77777777" w:rsidTr="00DD7225">
        <w:trPr>
          <w:trHeight w:val="580"/>
        </w:trPr>
        <w:tc>
          <w:tcPr>
            <w:tcW w:w="215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35CC822"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Provider</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14:paraId="097697CC"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Abbre- viated</w:t>
            </w:r>
          </w:p>
        </w:tc>
        <w:tc>
          <w:tcPr>
            <w:tcW w:w="1980" w:type="dxa"/>
            <w:tcBorders>
              <w:top w:val="single" w:sz="4" w:space="0" w:color="auto"/>
              <w:left w:val="nil"/>
              <w:bottom w:val="single" w:sz="4" w:space="0" w:color="auto"/>
              <w:right w:val="single" w:sz="4" w:space="0" w:color="auto"/>
            </w:tcBorders>
            <w:shd w:val="clear" w:color="000000" w:fill="D9D9D9"/>
            <w:vAlign w:val="bottom"/>
            <w:hideMark/>
          </w:tcPr>
          <w:p w14:paraId="25AA1F9D"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Accountable Executive</w:t>
            </w:r>
          </w:p>
        </w:tc>
        <w:tc>
          <w:tcPr>
            <w:tcW w:w="2700" w:type="dxa"/>
            <w:tcBorders>
              <w:top w:val="single" w:sz="4" w:space="0" w:color="auto"/>
              <w:left w:val="nil"/>
              <w:bottom w:val="single" w:sz="4" w:space="0" w:color="auto"/>
              <w:right w:val="single" w:sz="4" w:space="0" w:color="auto"/>
            </w:tcBorders>
            <w:shd w:val="clear" w:color="000000" w:fill="D9D9D9"/>
            <w:vAlign w:val="bottom"/>
            <w:hideMark/>
          </w:tcPr>
          <w:p w14:paraId="0A8B8DD9"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Email</w:t>
            </w:r>
          </w:p>
        </w:tc>
        <w:tc>
          <w:tcPr>
            <w:tcW w:w="2225" w:type="dxa"/>
            <w:tcBorders>
              <w:top w:val="single" w:sz="4" w:space="0" w:color="auto"/>
              <w:left w:val="nil"/>
              <w:bottom w:val="single" w:sz="4" w:space="0" w:color="auto"/>
              <w:right w:val="single" w:sz="4" w:space="0" w:color="auto"/>
            </w:tcBorders>
            <w:shd w:val="clear" w:color="000000" w:fill="D9D9D9"/>
            <w:vAlign w:val="bottom"/>
            <w:hideMark/>
          </w:tcPr>
          <w:p w14:paraId="26CD8012"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Tele. No.</w:t>
            </w:r>
          </w:p>
        </w:tc>
      </w:tr>
      <w:tr w:rsidR="00EB5750" w:rsidRPr="00EB5750" w14:paraId="039E3C05" w14:textId="77777777" w:rsidTr="00DD7225">
        <w:trPr>
          <w:trHeight w:val="600"/>
        </w:trPr>
        <w:tc>
          <w:tcPr>
            <w:tcW w:w="2155" w:type="dxa"/>
            <w:tcBorders>
              <w:top w:val="nil"/>
              <w:left w:val="single" w:sz="4" w:space="0" w:color="auto"/>
              <w:bottom w:val="single" w:sz="4" w:space="0" w:color="auto"/>
              <w:right w:val="single" w:sz="4" w:space="0" w:color="auto"/>
            </w:tcBorders>
            <w:shd w:val="clear" w:color="auto" w:fill="auto"/>
            <w:hideMark/>
          </w:tcPr>
          <w:p w14:paraId="6AEA535C"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Aroostook Regional Transportation System</w:t>
            </w:r>
          </w:p>
        </w:tc>
        <w:tc>
          <w:tcPr>
            <w:tcW w:w="900" w:type="dxa"/>
            <w:tcBorders>
              <w:top w:val="nil"/>
              <w:left w:val="nil"/>
              <w:bottom w:val="single" w:sz="4" w:space="0" w:color="auto"/>
              <w:right w:val="single" w:sz="4" w:space="0" w:color="auto"/>
            </w:tcBorders>
            <w:shd w:val="clear" w:color="auto" w:fill="auto"/>
            <w:hideMark/>
          </w:tcPr>
          <w:p w14:paraId="3A8CE217"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ARTS</w:t>
            </w:r>
          </w:p>
        </w:tc>
        <w:tc>
          <w:tcPr>
            <w:tcW w:w="1980" w:type="dxa"/>
            <w:tcBorders>
              <w:top w:val="nil"/>
              <w:left w:val="nil"/>
              <w:bottom w:val="single" w:sz="4" w:space="0" w:color="auto"/>
              <w:right w:val="single" w:sz="4" w:space="0" w:color="auto"/>
            </w:tcBorders>
            <w:shd w:val="clear" w:color="auto" w:fill="auto"/>
            <w:hideMark/>
          </w:tcPr>
          <w:p w14:paraId="49CA54F6"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David Dionne, Executive Director</w:t>
            </w:r>
          </w:p>
        </w:tc>
        <w:tc>
          <w:tcPr>
            <w:tcW w:w="2700" w:type="dxa"/>
            <w:tcBorders>
              <w:top w:val="nil"/>
              <w:left w:val="nil"/>
              <w:bottom w:val="single" w:sz="4" w:space="0" w:color="auto"/>
              <w:right w:val="single" w:sz="4" w:space="0" w:color="auto"/>
            </w:tcBorders>
            <w:shd w:val="clear" w:color="auto" w:fill="auto"/>
            <w:hideMark/>
          </w:tcPr>
          <w:p w14:paraId="722A3B94" w14:textId="77777777" w:rsidR="00EB5750" w:rsidRPr="00EB5750" w:rsidRDefault="00122460" w:rsidP="00EB5750">
            <w:pPr>
              <w:spacing w:line="240" w:lineRule="auto"/>
              <w:ind w:left="0"/>
              <w:rPr>
                <w:rFonts w:ascii="Calibri" w:eastAsia="Times New Roman" w:hAnsi="Calibri" w:cs="Calibri"/>
                <w:color w:val="0563C1"/>
                <w:u w:val="single"/>
              </w:rPr>
            </w:pPr>
            <w:hyperlink r:id="rId32" w:history="1">
              <w:r w:rsidR="00EB5750" w:rsidRPr="00EB5750">
                <w:rPr>
                  <w:rFonts w:ascii="Calibri" w:eastAsia="Times New Roman" w:hAnsi="Calibri" w:cs="Calibri"/>
                  <w:color w:val="0563C1"/>
                  <w:u w:val="single"/>
                </w:rPr>
                <w:t>executivedirector@artsme.org</w:t>
              </w:r>
            </w:hyperlink>
          </w:p>
        </w:tc>
        <w:tc>
          <w:tcPr>
            <w:tcW w:w="2225" w:type="dxa"/>
            <w:tcBorders>
              <w:top w:val="nil"/>
              <w:left w:val="nil"/>
              <w:bottom w:val="single" w:sz="4" w:space="0" w:color="auto"/>
              <w:right w:val="single" w:sz="4" w:space="0" w:color="auto"/>
            </w:tcBorders>
            <w:shd w:val="clear" w:color="auto" w:fill="auto"/>
            <w:hideMark/>
          </w:tcPr>
          <w:p w14:paraId="593C9147"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764-1290</w:t>
            </w:r>
          </w:p>
        </w:tc>
      </w:tr>
      <w:tr w:rsidR="00EB5750" w:rsidRPr="00EB5750" w14:paraId="51E0F5E6"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68713C85"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City of Bath</w:t>
            </w:r>
          </w:p>
        </w:tc>
        <w:tc>
          <w:tcPr>
            <w:tcW w:w="900" w:type="dxa"/>
            <w:tcBorders>
              <w:top w:val="nil"/>
              <w:left w:val="nil"/>
              <w:bottom w:val="single" w:sz="4" w:space="0" w:color="auto"/>
              <w:right w:val="single" w:sz="4" w:space="0" w:color="auto"/>
            </w:tcBorders>
            <w:shd w:val="clear" w:color="auto" w:fill="auto"/>
            <w:hideMark/>
          </w:tcPr>
          <w:p w14:paraId="5B2B96B4"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Bath</w:t>
            </w:r>
          </w:p>
        </w:tc>
        <w:tc>
          <w:tcPr>
            <w:tcW w:w="1980" w:type="dxa"/>
            <w:tcBorders>
              <w:top w:val="nil"/>
              <w:left w:val="nil"/>
              <w:bottom w:val="single" w:sz="4" w:space="0" w:color="auto"/>
              <w:right w:val="single" w:sz="4" w:space="0" w:color="auto"/>
            </w:tcBorders>
            <w:shd w:val="clear" w:color="auto" w:fill="auto"/>
            <w:hideMark/>
          </w:tcPr>
          <w:p w14:paraId="32414FCF" w14:textId="24216C64"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Michael Peabody, Facilities Dir</w:t>
            </w:r>
            <w:r>
              <w:rPr>
                <w:rFonts w:ascii="Calibri" w:eastAsia="Times New Roman" w:hAnsi="Calibri" w:cs="Calibri"/>
                <w:color w:val="000000"/>
              </w:rPr>
              <w:t>.</w:t>
            </w:r>
          </w:p>
        </w:tc>
        <w:tc>
          <w:tcPr>
            <w:tcW w:w="2700" w:type="dxa"/>
            <w:tcBorders>
              <w:top w:val="nil"/>
              <w:left w:val="nil"/>
              <w:bottom w:val="single" w:sz="4" w:space="0" w:color="auto"/>
              <w:right w:val="single" w:sz="4" w:space="0" w:color="auto"/>
            </w:tcBorders>
            <w:shd w:val="clear" w:color="auto" w:fill="auto"/>
            <w:hideMark/>
          </w:tcPr>
          <w:p w14:paraId="0E9F7891" w14:textId="77777777" w:rsidR="00EB5750" w:rsidRPr="00EB5750" w:rsidRDefault="00122460" w:rsidP="00EB5750">
            <w:pPr>
              <w:spacing w:line="240" w:lineRule="auto"/>
              <w:ind w:left="0"/>
              <w:rPr>
                <w:rFonts w:ascii="Calibri" w:eastAsia="Times New Roman" w:hAnsi="Calibri" w:cs="Calibri"/>
                <w:color w:val="0563C1"/>
                <w:u w:val="single"/>
              </w:rPr>
            </w:pPr>
            <w:hyperlink r:id="rId33" w:history="1">
              <w:r w:rsidR="00EB5750" w:rsidRPr="00EB5750">
                <w:rPr>
                  <w:rFonts w:ascii="Calibri" w:eastAsia="Times New Roman" w:hAnsi="Calibri" w:cs="Calibri"/>
                  <w:color w:val="0563C1"/>
                  <w:u w:val="single"/>
                </w:rPr>
                <w:t xml:space="preserve">mpeabody@CityofBath.com </w:t>
              </w:r>
            </w:hyperlink>
          </w:p>
        </w:tc>
        <w:tc>
          <w:tcPr>
            <w:tcW w:w="2225" w:type="dxa"/>
            <w:tcBorders>
              <w:top w:val="nil"/>
              <w:left w:val="nil"/>
              <w:bottom w:val="single" w:sz="4" w:space="0" w:color="auto"/>
              <w:right w:val="single" w:sz="4" w:space="0" w:color="auto"/>
            </w:tcBorders>
            <w:shd w:val="clear" w:color="auto" w:fill="auto"/>
            <w:hideMark/>
          </w:tcPr>
          <w:p w14:paraId="16E10747"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443-8365</w:t>
            </w:r>
          </w:p>
        </w:tc>
      </w:tr>
      <w:tr w:rsidR="00EB5750" w:rsidRPr="00EB5750" w14:paraId="63B6D973"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3E4660DB"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Downeast Community Partners</w:t>
            </w:r>
          </w:p>
        </w:tc>
        <w:tc>
          <w:tcPr>
            <w:tcW w:w="900" w:type="dxa"/>
            <w:tcBorders>
              <w:top w:val="nil"/>
              <w:left w:val="nil"/>
              <w:bottom w:val="single" w:sz="4" w:space="0" w:color="auto"/>
              <w:right w:val="single" w:sz="4" w:space="0" w:color="auto"/>
            </w:tcBorders>
            <w:shd w:val="clear" w:color="auto" w:fill="auto"/>
            <w:hideMark/>
          </w:tcPr>
          <w:p w14:paraId="2CFE8568"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DCP</w:t>
            </w:r>
          </w:p>
        </w:tc>
        <w:tc>
          <w:tcPr>
            <w:tcW w:w="1980" w:type="dxa"/>
            <w:tcBorders>
              <w:top w:val="nil"/>
              <w:left w:val="nil"/>
              <w:bottom w:val="single" w:sz="4" w:space="0" w:color="auto"/>
              <w:right w:val="single" w:sz="4" w:space="0" w:color="auto"/>
            </w:tcBorders>
            <w:shd w:val="clear" w:color="auto" w:fill="auto"/>
            <w:hideMark/>
          </w:tcPr>
          <w:p w14:paraId="3B50A413"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Cheryl Robbins, Transportation Director</w:t>
            </w:r>
          </w:p>
        </w:tc>
        <w:tc>
          <w:tcPr>
            <w:tcW w:w="2700" w:type="dxa"/>
            <w:tcBorders>
              <w:top w:val="nil"/>
              <w:left w:val="nil"/>
              <w:bottom w:val="single" w:sz="4" w:space="0" w:color="auto"/>
              <w:right w:val="single" w:sz="4" w:space="0" w:color="auto"/>
            </w:tcBorders>
            <w:shd w:val="clear" w:color="auto" w:fill="auto"/>
            <w:hideMark/>
          </w:tcPr>
          <w:p w14:paraId="1FB336B6" w14:textId="77777777" w:rsidR="00EB5750" w:rsidRPr="00EB5750" w:rsidRDefault="00122460" w:rsidP="00EB5750">
            <w:pPr>
              <w:spacing w:line="240" w:lineRule="auto"/>
              <w:ind w:left="0"/>
              <w:rPr>
                <w:rFonts w:ascii="Calibri" w:eastAsia="Times New Roman" w:hAnsi="Calibri" w:cs="Calibri"/>
                <w:color w:val="0563C1"/>
                <w:u w:val="single"/>
              </w:rPr>
            </w:pPr>
            <w:hyperlink r:id="rId34" w:history="1">
              <w:r w:rsidR="00EB5750" w:rsidRPr="00EB5750">
                <w:rPr>
                  <w:rFonts w:ascii="Calibri" w:eastAsia="Times New Roman" w:hAnsi="Calibri" w:cs="Calibri"/>
                  <w:color w:val="0563C1"/>
                  <w:u w:val="single"/>
                </w:rPr>
                <w:t xml:space="preserve">cheryl.robbins@DowneastCommunityPartners.org </w:t>
              </w:r>
            </w:hyperlink>
          </w:p>
        </w:tc>
        <w:tc>
          <w:tcPr>
            <w:tcW w:w="2225" w:type="dxa"/>
            <w:tcBorders>
              <w:top w:val="nil"/>
              <w:left w:val="nil"/>
              <w:bottom w:val="single" w:sz="4" w:space="0" w:color="auto"/>
              <w:right w:val="single" w:sz="4" w:space="0" w:color="auto"/>
            </w:tcBorders>
            <w:shd w:val="clear" w:color="auto" w:fill="auto"/>
            <w:hideMark/>
          </w:tcPr>
          <w:p w14:paraId="3946945F"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610-5932</w:t>
            </w:r>
          </w:p>
        </w:tc>
      </w:tr>
      <w:tr w:rsidR="00EB5750" w:rsidRPr="00EB5750" w14:paraId="612CC962"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78C101EA"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Downeast Transportation</w:t>
            </w:r>
          </w:p>
        </w:tc>
        <w:tc>
          <w:tcPr>
            <w:tcW w:w="900" w:type="dxa"/>
            <w:tcBorders>
              <w:top w:val="nil"/>
              <w:left w:val="nil"/>
              <w:bottom w:val="single" w:sz="4" w:space="0" w:color="auto"/>
              <w:right w:val="single" w:sz="4" w:space="0" w:color="auto"/>
            </w:tcBorders>
            <w:shd w:val="clear" w:color="auto" w:fill="auto"/>
            <w:hideMark/>
          </w:tcPr>
          <w:p w14:paraId="1F7378DA"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DTI</w:t>
            </w:r>
          </w:p>
        </w:tc>
        <w:tc>
          <w:tcPr>
            <w:tcW w:w="1980" w:type="dxa"/>
            <w:tcBorders>
              <w:top w:val="nil"/>
              <w:left w:val="nil"/>
              <w:bottom w:val="single" w:sz="4" w:space="0" w:color="auto"/>
              <w:right w:val="single" w:sz="4" w:space="0" w:color="auto"/>
            </w:tcBorders>
            <w:shd w:val="clear" w:color="auto" w:fill="auto"/>
            <w:hideMark/>
          </w:tcPr>
          <w:p w14:paraId="2BF00D00" w14:textId="2A88C45E"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Phyllicia Jordan, Operations &amp; Faci</w:t>
            </w:r>
            <w:r>
              <w:rPr>
                <w:rFonts w:ascii="Calibri" w:eastAsia="Times New Roman" w:hAnsi="Calibri" w:cs="Calibri"/>
                <w:color w:val="000000"/>
              </w:rPr>
              <w:t>l</w:t>
            </w:r>
            <w:r w:rsidRPr="00EB5750">
              <w:rPr>
                <w:rFonts w:ascii="Calibri" w:eastAsia="Times New Roman" w:hAnsi="Calibri" w:cs="Calibri"/>
                <w:color w:val="000000"/>
              </w:rPr>
              <w:t>ities Mgr</w:t>
            </w:r>
          </w:p>
        </w:tc>
        <w:tc>
          <w:tcPr>
            <w:tcW w:w="2700" w:type="dxa"/>
            <w:tcBorders>
              <w:top w:val="nil"/>
              <w:left w:val="nil"/>
              <w:bottom w:val="single" w:sz="4" w:space="0" w:color="auto"/>
              <w:right w:val="single" w:sz="4" w:space="0" w:color="auto"/>
            </w:tcBorders>
            <w:shd w:val="clear" w:color="auto" w:fill="auto"/>
            <w:hideMark/>
          </w:tcPr>
          <w:p w14:paraId="332F8F9E" w14:textId="77777777" w:rsidR="00EB5750" w:rsidRPr="00EB5750" w:rsidRDefault="00122460" w:rsidP="00EB5750">
            <w:pPr>
              <w:spacing w:line="240" w:lineRule="auto"/>
              <w:ind w:left="0"/>
              <w:rPr>
                <w:rFonts w:ascii="Calibri" w:eastAsia="Times New Roman" w:hAnsi="Calibri" w:cs="Calibri"/>
                <w:color w:val="0563C1"/>
                <w:u w:val="single"/>
              </w:rPr>
            </w:pPr>
            <w:hyperlink r:id="rId35" w:history="1">
              <w:r w:rsidR="00EB5750" w:rsidRPr="00EB5750">
                <w:rPr>
                  <w:rFonts w:ascii="Calibri" w:eastAsia="Times New Roman" w:hAnsi="Calibri" w:cs="Calibri"/>
                  <w:color w:val="0563C1"/>
                  <w:u w:val="single"/>
                </w:rPr>
                <w:t xml:space="preserve">pjordan@exploreacadia.com </w:t>
              </w:r>
            </w:hyperlink>
          </w:p>
        </w:tc>
        <w:tc>
          <w:tcPr>
            <w:tcW w:w="2225" w:type="dxa"/>
            <w:tcBorders>
              <w:top w:val="nil"/>
              <w:left w:val="nil"/>
              <w:bottom w:val="single" w:sz="4" w:space="0" w:color="auto"/>
              <w:right w:val="single" w:sz="4" w:space="0" w:color="auto"/>
            </w:tcBorders>
            <w:shd w:val="clear" w:color="auto" w:fill="auto"/>
            <w:hideMark/>
          </w:tcPr>
          <w:p w14:paraId="42A57957"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667-5796</w:t>
            </w:r>
          </w:p>
        </w:tc>
      </w:tr>
      <w:tr w:rsidR="00EB5750" w:rsidRPr="00EB5750" w14:paraId="4105AC13" w14:textId="77777777" w:rsidTr="00DD7225">
        <w:trPr>
          <w:trHeight w:val="870"/>
        </w:trPr>
        <w:tc>
          <w:tcPr>
            <w:tcW w:w="2155" w:type="dxa"/>
            <w:tcBorders>
              <w:top w:val="nil"/>
              <w:left w:val="single" w:sz="4" w:space="0" w:color="auto"/>
              <w:bottom w:val="single" w:sz="4" w:space="0" w:color="auto"/>
              <w:right w:val="single" w:sz="4" w:space="0" w:color="auto"/>
            </w:tcBorders>
            <w:shd w:val="clear" w:color="auto" w:fill="auto"/>
            <w:hideMark/>
          </w:tcPr>
          <w:p w14:paraId="0E369915"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Kennebec Valley Community Action Program</w:t>
            </w:r>
          </w:p>
        </w:tc>
        <w:tc>
          <w:tcPr>
            <w:tcW w:w="900" w:type="dxa"/>
            <w:tcBorders>
              <w:top w:val="nil"/>
              <w:left w:val="nil"/>
              <w:bottom w:val="single" w:sz="4" w:space="0" w:color="auto"/>
              <w:right w:val="single" w:sz="4" w:space="0" w:color="auto"/>
            </w:tcBorders>
            <w:shd w:val="clear" w:color="auto" w:fill="auto"/>
            <w:hideMark/>
          </w:tcPr>
          <w:p w14:paraId="5F9B845B"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KVCAP</w:t>
            </w:r>
          </w:p>
        </w:tc>
        <w:tc>
          <w:tcPr>
            <w:tcW w:w="1980" w:type="dxa"/>
            <w:tcBorders>
              <w:top w:val="nil"/>
              <w:left w:val="nil"/>
              <w:bottom w:val="single" w:sz="4" w:space="0" w:color="auto"/>
              <w:right w:val="single" w:sz="4" w:space="0" w:color="auto"/>
            </w:tcBorders>
            <w:shd w:val="clear" w:color="auto" w:fill="auto"/>
            <w:hideMark/>
          </w:tcPr>
          <w:p w14:paraId="6C318D11"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Suzanne Walsh, CEO</w:t>
            </w:r>
          </w:p>
        </w:tc>
        <w:tc>
          <w:tcPr>
            <w:tcW w:w="2700" w:type="dxa"/>
            <w:tcBorders>
              <w:top w:val="nil"/>
              <w:left w:val="nil"/>
              <w:bottom w:val="single" w:sz="4" w:space="0" w:color="auto"/>
              <w:right w:val="single" w:sz="4" w:space="0" w:color="auto"/>
            </w:tcBorders>
            <w:shd w:val="clear" w:color="auto" w:fill="auto"/>
            <w:hideMark/>
          </w:tcPr>
          <w:p w14:paraId="43FDC89A" w14:textId="77777777" w:rsidR="00EB5750" w:rsidRPr="00EB5750" w:rsidRDefault="00122460" w:rsidP="00EB5750">
            <w:pPr>
              <w:spacing w:line="240" w:lineRule="auto"/>
              <w:ind w:left="0"/>
              <w:rPr>
                <w:rFonts w:ascii="Calibri" w:eastAsia="Times New Roman" w:hAnsi="Calibri" w:cs="Calibri"/>
                <w:color w:val="0563C1"/>
                <w:u w:val="single"/>
              </w:rPr>
            </w:pPr>
            <w:hyperlink r:id="rId36" w:history="1">
              <w:r w:rsidR="00EB5750" w:rsidRPr="00EB5750">
                <w:rPr>
                  <w:rFonts w:ascii="Calibri" w:eastAsia="Times New Roman" w:hAnsi="Calibri" w:cs="Calibri"/>
                  <w:color w:val="0563C1"/>
                  <w:u w:val="single"/>
                </w:rPr>
                <w:t xml:space="preserve">suzannew@kvcap.org </w:t>
              </w:r>
            </w:hyperlink>
          </w:p>
        </w:tc>
        <w:tc>
          <w:tcPr>
            <w:tcW w:w="2225" w:type="dxa"/>
            <w:tcBorders>
              <w:top w:val="nil"/>
              <w:left w:val="nil"/>
              <w:bottom w:val="single" w:sz="4" w:space="0" w:color="auto"/>
              <w:right w:val="single" w:sz="4" w:space="0" w:color="auto"/>
            </w:tcBorders>
            <w:shd w:val="clear" w:color="auto" w:fill="auto"/>
            <w:hideMark/>
          </w:tcPr>
          <w:p w14:paraId="7A05867F"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859-1579</w:t>
            </w:r>
          </w:p>
        </w:tc>
      </w:tr>
      <w:tr w:rsidR="00EB5750" w:rsidRPr="00EB5750" w14:paraId="6B6D3764"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11A72B26"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Penquis Community Action Program</w:t>
            </w:r>
          </w:p>
        </w:tc>
        <w:tc>
          <w:tcPr>
            <w:tcW w:w="900" w:type="dxa"/>
            <w:tcBorders>
              <w:top w:val="nil"/>
              <w:left w:val="nil"/>
              <w:bottom w:val="single" w:sz="4" w:space="0" w:color="auto"/>
              <w:right w:val="single" w:sz="4" w:space="0" w:color="auto"/>
            </w:tcBorders>
            <w:shd w:val="clear" w:color="auto" w:fill="auto"/>
            <w:hideMark/>
          </w:tcPr>
          <w:p w14:paraId="552F06E7"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Penquis</w:t>
            </w:r>
          </w:p>
        </w:tc>
        <w:tc>
          <w:tcPr>
            <w:tcW w:w="1980" w:type="dxa"/>
            <w:tcBorders>
              <w:top w:val="nil"/>
              <w:left w:val="nil"/>
              <w:bottom w:val="single" w:sz="4" w:space="0" w:color="auto"/>
              <w:right w:val="single" w:sz="4" w:space="0" w:color="auto"/>
            </w:tcBorders>
            <w:shd w:val="clear" w:color="auto" w:fill="auto"/>
            <w:hideMark/>
          </w:tcPr>
          <w:p w14:paraId="0828AB4E" w14:textId="1FAE33F5"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Steven Richard, Transportation Director</w:t>
            </w:r>
          </w:p>
        </w:tc>
        <w:tc>
          <w:tcPr>
            <w:tcW w:w="2700" w:type="dxa"/>
            <w:tcBorders>
              <w:top w:val="nil"/>
              <w:left w:val="nil"/>
              <w:bottom w:val="single" w:sz="4" w:space="0" w:color="auto"/>
              <w:right w:val="single" w:sz="4" w:space="0" w:color="auto"/>
            </w:tcBorders>
            <w:shd w:val="clear" w:color="auto" w:fill="auto"/>
            <w:hideMark/>
          </w:tcPr>
          <w:p w14:paraId="1B408B95" w14:textId="77777777" w:rsidR="00EB5750" w:rsidRPr="00EB5750" w:rsidRDefault="00EB5750" w:rsidP="00EB5750">
            <w:pPr>
              <w:spacing w:line="240" w:lineRule="auto"/>
              <w:ind w:left="0"/>
              <w:rPr>
                <w:rFonts w:ascii="Calibri" w:eastAsia="Times New Roman" w:hAnsi="Calibri" w:cs="Calibri"/>
                <w:color w:val="0563C1"/>
                <w:u w:val="single"/>
              </w:rPr>
            </w:pPr>
            <w:r w:rsidRPr="00EB5750">
              <w:rPr>
                <w:rFonts w:ascii="Calibri" w:eastAsia="Times New Roman" w:hAnsi="Calibri" w:cs="Calibri"/>
                <w:color w:val="0563C1"/>
                <w:u w:val="single"/>
              </w:rPr>
              <w:t>srichard@penquis.org</w:t>
            </w:r>
          </w:p>
        </w:tc>
        <w:tc>
          <w:tcPr>
            <w:tcW w:w="2225" w:type="dxa"/>
            <w:tcBorders>
              <w:top w:val="nil"/>
              <w:left w:val="nil"/>
              <w:bottom w:val="single" w:sz="4" w:space="0" w:color="auto"/>
              <w:right w:val="single" w:sz="4" w:space="0" w:color="auto"/>
            </w:tcBorders>
            <w:shd w:val="clear" w:color="auto" w:fill="auto"/>
            <w:hideMark/>
          </w:tcPr>
          <w:p w14:paraId="1637881B"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973-3512</w:t>
            </w:r>
          </w:p>
        </w:tc>
      </w:tr>
      <w:tr w:rsidR="00EB5750" w:rsidRPr="00EB5750" w14:paraId="536266F3"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57F2F163"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Regional Transportation Program</w:t>
            </w:r>
          </w:p>
        </w:tc>
        <w:tc>
          <w:tcPr>
            <w:tcW w:w="900" w:type="dxa"/>
            <w:tcBorders>
              <w:top w:val="nil"/>
              <w:left w:val="nil"/>
              <w:bottom w:val="single" w:sz="4" w:space="0" w:color="auto"/>
              <w:right w:val="single" w:sz="4" w:space="0" w:color="auto"/>
            </w:tcBorders>
            <w:shd w:val="clear" w:color="auto" w:fill="auto"/>
            <w:hideMark/>
          </w:tcPr>
          <w:p w14:paraId="1E2338C3"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RTP</w:t>
            </w:r>
          </w:p>
        </w:tc>
        <w:tc>
          <w:tcPr>
            <w:tcW w:w="1980" w:type="dxa"/>
            <w:tcBorders>
              <w:top w:val="nil"/>
              <w:left w:val="nil"/>
              <w:bottom w:val="single" w:sz="4" w:space="0" w:color="auto"/>
              <w:right w:val="single" w:sz="4" w:space="0" w:color="auto"/>
            </w:tcBorders>
            <w:shd w:val="clear" w:color="auto" w:fill="auto"/>
            <w:hideMark/>
          </w:tcPr>
          <w:p w14:paraId="4845437E"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Jack DeBeradinis, Executive Director</w:t>
            </w:r>
          </w:p>
        </w:tc>
        <w:tc>
          <w:tcPr>
            <w:tcW w:w="2700" w:type="dxa"/>
            <w:tcBorders>
              <w:top w:val="nil"/>
              <w:left w:val="nil"/>
              <w:bottom w:val="single" w:sz="4" w:space="0" w:color="auto"/>
              <w:right w:val="single" w:sz="4" w:space="0" w:color="auto"/>
            </w:tcBorders>
            <w:shd w:val="clear" w:color="auto" w:fill="auto"/>
            <w:hideMark/>
          </w:tcPr>
          <w:p w14:paraId="243B0A86" w14:textId="77777777" w:rsidR="00EB5750" w:rsidRPr="00EB5750" w:rsidRDefault="00122460" w:rsidP="00EB5750">
            <w:pPr>
              <w:spacing w:line="240" w:lineRule="auto"/>
              <w:ind w:left="0"/>
              <w:rPr>
                <w:rFonts w:ascii="Calibri" w:eastAsia="Times New Roman" w:hAnsi="Calibri" w:cs="Calibri"/>
                <w:color w:val="0563C1"/>
                <w:u w:val="single"/>
              </w:rPr>
            </w:pPr>
            <w:hyperlink r:id="rId37" w:history="1">
              <w:r w:rsidR="00EB5750" w:rsidRPr="00EB5750">
                <w:rPr>
                  <w:rFonts w:ascii="Calibri" w:eastAsia="Times New Roman" w:hAnsi="Calibri" w:cs="Calibri"/>
                  <w:color w:val="0563C1"/>
                  <w:u w:val="single"/>
                </w:rPr>
                <w:t xml:space="preserve">jackd@rtprides.org </w:t>
              </w:r>
            </w:hyperlink>
          </w:p>
        </w:tc>
        <w:tc>
          <w:tcPr>
            <w:tcW w:w="2225" w:type="dxa"/>
            <w:tcBorders>
              <w:top w:val="nil"/>
              <w:left w:val="nil"/>
              <w:bottom w:val="single" w:sz="4" w:space="0" w:color="auto"/>
              <w:right w:val="single" w:sz="4" w:space="0" w:color="auto"/>
            </w:tcBorders>
            <w:shd w:val="clear" w:color="auto" w:fill="auto"/>
            <w:hideMark/>
          </w:tcPr>
          <w:p w14:paraId="080F70AE" w14:textId="3DCC3F2B" w:rsidR="00EB5750" w:rsidRPr="00EB5750" w:rsidRDefault="00122460" w:rsidP="00EB5750">
            <w:pPr>
              <w:spacing w:line="240" w:lineRule="auto"/>
              <w:ind w:left="0"/>
              <w:rPr>
                <w:rFonts w:ascii="Calibri" w:eastAsia="Times New Roman" w:hAnsi="Calibri" w:cs="Calibri"/>
                <w:color w:val="000000"/>
              </w:rPr>
            </w:pPr>
            <w:r>
              <w:rPr>
                <w:rFonts w:ascii="Calibri" w:eastAsia="Times New Roman" w:hAnsi="Calibri" w:cs="Calibri"/>
                <w:color w:val="000000"/>
              </w:rPr>
              <w:t>615-0093</w:t>
            </w:r>
          </w:p>
        </w:tc>
      </w:tr>
      <w:tr w:rsidR="00EB5750" w:rsidRPr="00EB5750" w14:paraId="6283ED26"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01146AC6" w14:textId="3E78E75F"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Waldo Community Action Partne</w:t>
            </w:r>
            <w:r w:rsidR="00122460">
              <w:rPr>
                <w:rFonts w:ascii="Calibri" w:eastAsia="Times New Roman" w:hAnsi="Calibri" w:cs="Calibri"/>
                <w:color w:val="000000"/>
              </w:rPr>
              <w:t>r</w:t>
            </w:r>
            <w:r w:rsidRPr="00EB5750">
              <w:rPr>
                <w:rFonts w:ascii="Calibri" w:eastAsia="Times New Roman" w:hAnsi="Calibri" w:cs="Calibri"/>
                <w:color w:val="000000"/>
              </w:rPr>
              <w:t>s</w:t>
            </w:r>
          </w:p>
        </w:tc>
        <w:tc>
          <w:tcPr>
            <w:tcW w:w="900" w:type="dxa"/>
            <w:tcBorders>
              <w:top w:val="nil"/>
              <w:left w:val="nil"/>
              <w:bottom w:val="single" w:sz="4" w:space="0" w:color="auto"/>
              <w:right w:val="single" w:sz="4" w:space="0" w:color="auto"/>
            </w:tcBorders>
            <w:shd w:val="clear" w:color="auto" w:fill="auto"/>
            <w:hideMark/>
          </w:tcPr>
          <w:p w14:paraId="0750D007"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WCAP</w:t>
            </w:r>
          </w:p>
        </w:tc>
        <w:tc>
          <w:tcPr>
            <w:tcW w:w="1980" w:type="dxa"/>
            <w:tcBorders>
              <w:top w:val="nil"/>
              <w:left w:val="nil"/>
              <w:bottom w:val="single" w:sz="4" w:space="0" w:color="auto"/>
              <w:right w:val="single" w:sz="4" w:space="0" w:color="auto"/>
            </w:tcBorders>
            <w:shd w:val="clear" w:color="auto" w:fill="auto"/>
            <w:hideMark/>
          </w:tcPr>
          <w:p w14:paraId="42494275" w14:textId="5BE211B4"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Michael Hallundbaek, Director</w:t>
            </w:r>
          </w:p>
        </w:tc>
        <w:tc>
          <w:tcPr>
            <w:tcW w:w="2700" w:type="dxa"/>
            <w:tcBorders>
              <w:top w:val="nil"/>
              <w:left w:val="nil"/>
              <w:bottom w:val="single" w:sz="4" w:space="0" w:color="auto"/>
              <w:right w:val="single" w:sz="4" w:space="0" w:color="auto"/>
            </w:tcBorders>
            <w:shd w:val="clear" w:color="auto" w:fill="auto"/>
            <w:hideMark/>
          </w:tcPr>
          <w:p w14:paraId="0F876467" w14:textId="77777777" w:rsidR="00EB5750" w:rsidRPr="00EB5750" w:rsidRDefault="00122460" w:rsidP="00EB5750">
            <w:pPr>
              <w:spacing w:line="240" w:lineRule="auto"/>
              <w:ind w:left="0"/>
              <w:rPr>
                <w:rFonts w:ascii="Calibri" w:eastAsia="Times New Roman" w:hAnsi="Calibri" w:cs="Calibri"/>
                <w:color w:val="0563C1"/>
                <w:u w:val="single"/>
              </w:rPr>
            </w:pPr>
            <w:hyperlink r:id="rId38" w:history="1">
              <w:r w:rsidR="00EB5750" w:rsidRPr="00EB5750">
                <w:rPr>
                  <w:rFonts w:ascii="Calibri" w:eastAsia="Times New Roman" w:hAnsi="Calibri" w:cs="Calibri"/>
                  <w:color w:val="0563C1"/>
                  <w:u w:val="single"/>
                </w:rPr>
                <w:t xml:space="preserve">MHallundbaek@MidCoastConnector.org </w:t>
              </w:r>
            </w:hyperlink>
          </w:p>
        </w:tc>
        <w:tc>
          <w:tcPr>
            <w:tcW w:w="2225" w:type="dxa"/>
            <w:tcBorders>
              <w:top w:val="nil"/>
              <w:left w:val="nil"/>
              <w:bottom w:val="single" w:sz="4" w:space="0" w:color="auto"/>
              <w:right w:val="single" w:sz="4" w:space="0" w:color="auto"/>
            </w:tcBorders>
            <w:shd w:val="clear" w:color="auto" w:fill="auto"/>
            <w:hideMark/>
          </w:tcPr>
          <w:p w14:paraId="58236FC6"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930-7901</w:t>
            </w:r>
          </w:p>
        </w:tc>
      </w:tr>
      <w:tr w:rsidR="00EB5750" w:rsidRPr="00EB5750" w14:paraId="4E84BDB3" w14:textId="77777777" w:rsidTr="00DD7225">
        <w:trPr>
          <w:trHeight w:val="290"/>
        </w:trPr>
        <w:tc>
          <w:tcPr>
            <w:tcW w:w="2155" w:type="dxa"/>
            <w:tcBorders>
              <w:top w:val="nil"/>
              <w:left w:val="single" w:sz="4" w:space="0" w:color="auto"/>
              <w:bottom w:val="single" w:sz="4" w:space="0" w:color="auto"/>
              <w:right w:val="single" w:sz="4" w:space="0" w:color="auto"/>
            </w:tcBorders>
            <w:shd w:val="clear" w:color="auto" w:fill="auto"/>
            <w:hideMark/>
          </w:tcPr>
          <w:p w14:paraId="7A2DAC0F"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West's Transportation</w:t>
            </w:r>
          </w:p>
        </w:tc>
        <w:tc>
          <w:tcPr>
            <w:tcW w:w="900" w:type="dxa"/>
            <w:tcBorders>
              <w:top w:val="nil"/>
              <w:left w:val="nil"/>
              <w:bottom w:val="single" w:sz="4" w:space="0" w:color="auto"/>
              <w:right w:val="single" w:sz="4" w:space="0" w:color="auto"/>
            </w:tcBorders>
            <w:shd w:val="clear" w:color="auto" w:fill="auto"/>
            <w:hideMark/>
          </w:tcPr>
          <w:p w14:paraId="452EB2CF"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West's</w:t>
            </w:r>
          </w:p>
        </w:tc>
        <w:tc>
          <w:tcPr>
            <w:tcW w:w="1980" w:type="dxa"/>
            <w:tcBorders>
              <w:top w:val="nil"/>
              <w:left w:val="nil"/>
              <w:bottom w:val="single" w:sz="4" w:space="0" w:color="auto"/>
              <w:right w:val="single" w:sz="4" w:space="0" w:color="auto"/>
            </w:tcBorders>
            <w:shd w:val="clear" w:color="auto" w:fill="auto"/>
            <w:hideMark/>
          </w:tcPr>
          <w:p w14:paraId="2B8E96AD"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Emory West, Manager</w:t>
            </w:r>
          </w:p>
        </w:tc>
        <w:tc>
          <w:tcPr>
            <w:tcW w:w="2700" w:type="dxa"/>
            <w:tcBorders>
              <w:top w:val="nil"/>
              <w:left w:val="nil"/>
              <w:bottom w:val="single" w:sz="4" w:space="0" w:color="auto"/>
              <w:right w:val="single" w:sz="4" w:space="0" w:color="auto"/>
            </w:tcBorders>
            <w:shd w:val="clear" w:color="auto" w:fill="auto"/>
            <w:hideMark/>
          </w:tcPr>
          <w:p w14:paraId="18373EC5" w14:textId="77777777" w:rsidR="00EB5750" w:rsidRPr="00EB5750" w:rsidRDefault="00122460" w:rsidP="00EB5750">
            <w:pPr>
              <w:spacing w:line="240" w:lineRule="auto"/>
              <w:ind w:left="0"/>
              <w:rPr>
                <w:rFonts w:ascii="Calibri" w:eastAsia="Times New Roman" w:hAnsi="Calibri" w:cs="Calibri"/>
                <w:color w:val="0563C1"/>
                <w:u w:val="single"/>
              </w:rPr>
            </w:pPr>
            <w:hyperlink r:id="rId39" w:history="1">
              <w:r w:rsidR="00EB5750" w:rsidRPr="00EB5750">
                <w:rPr>
                  <w:rFonts w:ascii="Calibri" w:eastAsia="Times New Roman" w:hAnsi="Calibri" w:cs="Calibri"/>
                  <w:color w:val="0563C1"/>
                  <w:u w:val="single"/>
                </w:rPr>
                <w:t xml:space="preserve">westbus@ymail.com </w:t>
              </w:r>
            </w:hyperlink>
          </w:p>
        </w:tc>
        <w:tc>
          <w:tcPr>
            <w:tcW w:w="2225" w:type="dxa"/>
            <w:tcBorders>
              <w:top w:val="nil"/>
              <w:left w:val="nil"/>
              <w:bottom w:val="single" w:sz="4" w:space="0" w:color="auto"/>
              <w:right w:val="single" w:sz="4" w:space="0" w:color="auto"/>
            </w:tcBorders>
            <w:shd w:val="clear" w:color="auto" w:fill="auto"/>
            <w:hideMark/>
          </w:tcPr>
          <w:p w14:paraId="1A6FCFD4"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546-2823</w:t>
            </w:r>
          </w:p>
        </w:tc>
      </w:tr>
      <w:tr w:rsidR="00EB5750" w:rsidRPr="00EB5750" w14:paraId="77468D15"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556E5305"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Western Maine Transportation Services</w:t>
            </w:r>
          </w:p>
        </w:tc>
        <w:tc>
          <w:tcPr>
            <w:tcW w:w="900" w:type="dxa"/>
            <w:tcBorders>
              <w:top w:val="nil"/>
              <w:left w:val="nil"/>
              <w:bottom w:val="single" w:sz="4" w:space="0" w:color="auto"/>
              <w:right w:val="single" w:sz="4" w:space="0" w:color="auto"/>
            </w:tcBorders>
            <w:shd w:val="clear" w:color="auto" w:fill="auto"/>
            <w:hideMark/>
          </w:tcPr>
          <w:p w14:paraId="0473BC3D"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WMTS</w:t>
            </w:r>
          </w:p>
        </w:tc>
        <w:tc>
          <w:tcPr>
            <w:tcW w:w="1980" w:type="dxa"/>
            <w:tcBorders>
              <w:top w:val="nil"/>
              <w:left w:val="nil"/>
              <w:bottom w:val="single" w:sz="4" w:space="0" w:color="auto"/>
              <w:right w:val="single" w:sz="4" w:space="0" w:color="auto"/>
            </w:tcBorders>
            <w:shd w:val="clear" w:color="auto" w:fill="auto"/>
            <w:hideMark/>
          </w:tcPr>
          <w:p w14:paraId="67092655"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Sandy Buchanan, General Manager</w:t>
            </w:r>
          </w:p>
        </w:tc>
        <w:tc>
          <w:tcPr>
            <w:tcW w:w="2700" w:type="dxa"/>
            <w:tcBorders>
              <w:top w:val="nil"/>
              <w:left w:val="nil"/>
              <w:bottom w:val="single" w:sz="4" w:space="0" w:color="auto"/>
              <w:right w:val="single" w:sz="4" w:space="0" w:color="auto"/>
            </w:tcBorders>
            <w:shd w:val="clear" w:color="auto" w:fill="auto"/>
            <w:hideMark/>
          </w:tcPr>
          <w:p w14:paraId="6510713B" w14:textId="77777777" w:rsidR="00EB5750" w:rsidRPr="00EB5750" w:rsidRDefault="00122460" w:rsidP="00EB5750">
            <w:pPr>
              <w:spacing w:line="240" w:lineRule="auto"/>
              <w:ind w:left="0"/>
              <w:rPr>
                <w:rFonts w:ascii="Calibri" w:eastAsia="Times New Roman" w:hAnsi="Calibri" w:cs="Calibri"/>
                <w:color w:val="0563C1"/>
                <w:u w:val="single"/>
              </w:rPr>
            </w:pPr>
            <w:hyperlink r:id="rId40" w:history="1">
              <w:r w:rsidR="00EB5750" w:rsidRPr="00EB5750">
                <w:rPr>
                  <w:rFonts w:ascii="Calibri" w:eastAsia="Times New Roman" w:hAnsi="Calibri" w:cs="Calibri"/>
                  <w:color w:val="0563C1"/>
                  <w:u w:val="single"/>
                </w:rPr>
                <w:t xml:space="preserve">SBuchanan@westernmainetrans.org </w:t>
              </w:r>
            </w:hyperlink>
          </w:p>
        </w:tc>
        <w:tc>
          <w:tcPr>
            <w:tcW w:w="2225" w:type="dxa"/>
            <w:tcBorders>
              <w:top w:val="nil"/>
              <w:left w:val="nil"/>
              <w:bottom w:val="single" w:sz="4" w:space="0" w:color="auto"/>
              <w:right w:val="single" w:sz="4" w:space="0" w:color="auto"/>
            </w:tcBorders>
            <w:shd w:val="clear" w:color="auto" w:fill="auto"/>
            <w:hideMark/>
          </w:tcPr>
          <w:p w14:paraId="42D4C2EB"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333-6972 x207</w:t>
            </w:r>
          </w:p>
        </w:tc>
      </w:tr>
      <w:tr w:rsidR="00EB5750" w:rsidRPr="00EB5750" w14:paraId="09881BC1"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689F450E"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York County Community Action Corporation</w:t>
            </w:r>
          </w:p>
        </w:tc>
        <w:tc>
          <w:tcPr>
            <w:tcW w:w="900" w:type="dxa"/>
            <w:tcBorders>
              <w:top w:val="nil"/>
              <w:left w:val="nil"/>
              <w:bottom w:val="single" w:sz="4" w:space="0" w:color="auto"/>
              <w:right w:val="single" w:sz="4" w:space="0" w:color="auto"/>
            </w:tcBorders>
            <w:shd w:val="clear" w:color="auto" w:fill="auto"/>
            <w:hideMark/>
          </w:tcPr>
          <w:p w14:paraId="41290F9D"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YCCAC</w:t>
            </w:r>
          </w:p>
        </w:tc>
        <w:tc>
          <w:tcPr>
            <w:tcW w:w="1980" w:type="dxa"/>
            <w:tcBorders>
              <w:top w:val="nil"/>
              <w:left w:val="nil"/>
              <w:bottom w:val="single" w:sz="4" w:space="0" w:color="auto"/>
              <w:right w:val="single" w:sz="4" w:space="0" w:color="auto"/>
            </w:tcBorders>
            <w:shd w:val="clear" w:color="auto" w:fill="auto"/>
            <w:hideMark/>
          </w:tcPr>
          <w:p w14:paraId="5F48D898"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Tom Reinauer, Transportation Director</w:t>
            </w:r>
          </w:p>
        </w:tc>
        <w:tc>
          <w:tcPr>
            <w:tcW w:w="2700" w:type="dxa"/>
            <w:tcBorders>
              <w:top w:val="nil"/>
              <w:left w:val="nil"/>
              <w:bottom w:val="single" w:sz="4" w:space="0" w:color="auto"/>
              <w:right w:val="single" w:sz="4" w:space="0" w:color="auto"/>
            </w:tcBorders>
            <w:shd w:val="clear" w:color="auto" w:fill="auto"/>
            <w:hideMark/>
          </w:tcPr>
          <w:p w14:paraId="08AA21E7" w14:textId="77777777" w:rsidR="00EB5750" w:rsidRPr="00EB5750" w:rsidRDefault="00EB5750" w:rsidP="00EB5750">
            <w:pPr>
              <w:spacing w:line="240" w:lineRule="auto"/>
              <w:ind w:left="0"/>
              <w:rPr>
                <w:rFonts w:ascii="Calibri" w:eastAsia="Times New Roman" w:hAnsi="Calibri" w:cs="Calibri"/>
                <w:color w:val="0563C1"/>
                <w:u w:val="single"/>
              </w:rPr>
            </w:pPr>
            <w:r w:rsidRPr="00EB5750">
              <w:rPr>
                <w:rFonts w:ascii="Calibri" w:eastAsia="Times New Roman" w:hAnsi="Calibri" w:cs="Calibri"/>
                <w:color w:val="0563C1"/>
                <w:u w:val="single"/>
              </w:rPr>
              <w:t>Thomas.Reinauer@yccac.org</w:t>
            </w:r>
          </w:p>
        </w:tc>
        <w:tc>
          <w:tcPr>
            <w:tcW w:w="2225" w:type="dxa"/>
            <w:tcBorders>
              <w:top w:val="nil"/>
              <w:left w:val="nil"/>
              <w:bottom w:val="single" w:sz="4" w:space="0" w:color="auto"/>
              <w:right w:val="single" w:sz="4" w:space="0" w:color="auto"/>
            </w:tcBorders>
            <w:shd w:val="clear" w:color="auto" w:fill="auto"/>
            <w:hideMark/>
          </w:tcPr>
          <w:p w14:paraId="01E356DD"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459-2930</w:t>
            </w:r>
          </w:p>
        </w:tc>
      </w:tr>
      <w:tr w:rsidR="00EB5750" w:rsidRPr="00EB5750" w14:paraId="4903A849"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459D68D2"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Isle Au Haut</w:t>
            </w:r>
          </w:p>
        </w:tc>
        <w:tc>
          <w:tcPr>
            <w:tcW w:w="900" w:type="dxa"/>
            <w:tcBorders>
              <w:top w:val="nil"/>
              <w:left w:val="nil"/>
              <w:bottom w:val="single" w:sz="4" w:space="0" w:color="auto"/>
              <w:right w:val="single" w:sz="4" w:space="0" w:color="auto"/>
            </w:tcBorders>
            <w:shd w:val="clear" w:color="auto" w:fill="auto"/>
            <w:hideMark/>
          </w:tcPr>
          <w:p w14:paraId="42CB297B"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Isle Au Haut</w:t>
            </w:r>
          </w:p>
        </w:tc>
        <w:tc>
          <w:tcPr>
            <w:tcW w:w="1980" w:type="dxa"/>
            <w:tcBorders>
              <w:top w:val="nil"/>
              <w:left w:val="nil"/>
              <w:bottom w:val="single" w:sz="4" w:space="0" w:color="auto"/>
              <w:right w:val="single" w:sz="4" w:space="0" w:color="auto"/>
            </w:tcBorders>
            <w:shd w:val="clear" w:color="auto" w:fill="auto"/>
            <w:hideMark/>
          </w:tcPr>
          <w:p w14:paraId="07031F24"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George Cole, President</w:t>
            </w:r>
          </w:p>
        </w:tc>
        <w:tc>
          <w:tcPr>
            <w:tcW w:w="2700" w:type="dxa"/>
            <w:tcBorders>
              <w:top w:val="nil"/>
              <w:left w:val="nil"/>
              <w:bottom w:val="single" w:sz="4" w:space="0" w:color="auto"/>
              <w:right w:val="single" w:sz="4" w:space="0" w:color="auto"/>
            </w:tcBorders>
            <w:shd w:val="clear" w:color="auto" w:fill="auto"/>
            <w:hideMark/>
          </w:tcPr>
          <w:p w14:paraId="1DCE582F" w14:textId="77777777" w:rsidR="00EB5750" w:rsidRPr="00EB5750" w:rsidRDefault="00122460" w:rsidP="00EB5750">
            <w:pPr>
              <w:spacing w:line="240" w:lineRule="auto"/>
              <w:ind w:left="0"/>
              <w:rPr>
                <w:rFonts w:ascii="Calibri" w:eastAsia="Times New Roman" w:hAnsi="Calibri" w:cs="Calibri"/>
                <w:color w:val="0563C1"/>
                <w:u w:val="single"/>
              </w:rPr>
            </w:pPr>
            <w:hyperlink r:id="rId41" w:history="1">
              <w:r w:rsidR="00EB5750" w:rsidRPr="00EB5750">
                <w:rPr>
                  <w:rFonts w:ascii="Calibri" w:eastAsia="Times New Roman" w:hAnsi="Calibri" w:cs="Calibri"/>
                  <w:color w:val="0563C1"/>
                  <w:u w:val="single"/>
                </w:rPr>
                <w:t xml:space="preserve">gw.cole@verizon.net </w:t>
              </w:r>
            </w:hyperlink>
          </w:p>
        </w:tc>
        <w:tc>
          <w:tcPr>
            <w:tcW w:w="2225" w:type="dxa"/>
            <w:tcBorders>
              <w:top w:val="nil"/>
              <w:left w:val="nil"/>
              <w:bottom w:val="single" w:sz="4" w:space="0" w:color="auto"/>
              <w:right w:val="single" w:sz="4" w:space="0" w:color="auto"/>
            </w:tcBorders>
            <w:shd w:val="clear" w:color="auto" w:fill="auto"/>
            <w:hideMark/>
          </w:tcPr>
          <w:p w14:paraId="1019CE15"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(516) 658-2838</w:t>
            </w:r>
          </w:p>
        </w:tc>
      </w:tr>
      <w:tr w:rsidR="00EB5750" w:rsidRPr="00EB5750" w14:paraId="081BC3D5"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2C5BDC40"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MaineDOT, Ferry Service</w:t>
            </w:r>
          </w:p>
        </w:tc>
        <w:tc>
          <w:tcPr>
            <w:tcW w:w="900" w:type="dxa"/>
            <w:tcBorders>
              <w:top w:val="nil"/>
              <w:left w:val="nil"/>
              <w:bottom w:val="single" w:sz="4" w:space="0" w:color="auto"/>
              <w:right w:val="single" w:sz="4" w:space="0" w:color="auto"/>
            </w:tcBorders>
            <w:shd w:val="clear" w:color="auto" w:fill="auto"/>
            <w:hideMark/>
          </w:tcPr>
          <w:p w14:paraId="5B1D5405"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MSFS</w:t>
            </w:r>
          </w:p>
        </w:tc>
        <w:tc>
          <w:tcPr>
            <w:tcW w:w="1980" w:type="dxa"/>
            <w:tcBorders>
              <w:top w:val="nil"/>
              <w:left w:val="nil"/>
              <w:bottom w:val="single" w:sz="4" w:space="0" w:color="auto"/>
              <w:right w:val="single" w:sz="4" w:space="0" w:color="auto"/>
            </w:tcBorders>
            <w:shd w:val="clear" w:color="auto" w:fill="auto"/>
            <w:hideMark/>
          </w:tcPr>
          <w:p w14:paraId="0F2D3CAE"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Mark Higgins, Ferry Service Manager</w:t>
            </w:r>
          </w:p>
        </w:tc>
        <w:tc>
          <w:tcPr>
            <w:tcW w:w="2700" w:type="dxa"/>
            <w:tcBorders>
              <w:top w:val="nil"/>
              <w:left w:val="nil"/>
              <w:bottom w:val="single" w:sz="4" w:space="0" w:color="auto"/>
              <w:right w:val="single" w:sz="4" w:space="0" w:color="auto"/>
            </w:tcBorders>
            <w:shd w:val="clear" w:color="auto" w:fill="auto"/>
            <w:hideMark/>
          </w:tcPr>
          <w:p w14:paraId="557D9229" w14:textId="77777777" w:rsidR="00EB5750" w:rsidRPr="00EB5750" w:rsidRDefault="00EB5750" w:rsidP="00EB5750">
            <w:pPr>
              <w:spacing w:line="240" w:lineRule="auto"/>
              <w:ind w:left="0"/>
              <w:rPr>
                <w:rFonts w:ascii="Calibri" w:eastAsia="Times New Roman" w:hAnsi="Calibri" w:cs="Calibri"/>
                <w:color w:val="0563C1"/>
                <w:u w:val="single"/>
              </w:rPr>
            </w:pPr>
            <w:r w:rsidRPr="00EB5750">
              <w:rPr>
                <w:rFonts w:ascii="Calibri" w:eastAsia="Times New Roman" w:hAnsi="Calibri" w:cs="Calibri"/>
                <w:color w:val="0563C1"/>
                <w:u w:val="single"/>
              </w:rPr>
              <w:t>Mark.A.Higgins@maine.gov</w:t>
            </w:r>
          </w:p>
        </w:tc>
        <w:tc>
          <w:tcPr>
            <w:tcW w:w="2225" w:type="dxa"/>
            <w:tcBorders>
              <w:top w:val="nil"/>
              <w:left w:val="nil"/>
              <w:bottom w:val="single" w:sz="4" w:space="0" w:color="auto"/>
              <w:right w:val="single" w:sz="4" w:space="0" w:color="auto"/>
            </w:tcBorders>
            <w:shd w:val="clear" w:color="auto" w:fill="auto"/>
            <w:hideMark/>
          </w:tcPr>
          <w:p w14:paraId="4D5D1C84"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596-5422</w:t>
            </w:r>
          </w:p>
        </w:tc>
      </w:tr>
      <w:tr w:rsidR="00EB5750" w:rsidRPr="00EB5750" w14:paraId="38B4A66B" w14:textId="77777777" w:rsidTr="00DD7225">
        <w:trPr>
          <w:trHeight w:val="580"/>
        </w:trPr>
        <w:tc>
          <w:tcPr>
            <w:tcW w:w="2155" w:type="dxa"/>
            <w:tcBorders>
              <w:top w:val="nil"/>
              <w:left w:val="single" w:sz="4" w:space="0" w:color="auto"/>
              <w:bottom w:val="single" w:sz="4" w:space="0" w:color="auto"/>
              <w:right w:val="single" w:sz="4" w:space="0" w:color="auto"/>
            </w:tcBorders>
            <w:shd w:val="clear" w:color="auto" w:fill="auto"/>
            <w:hideMark/>
          </w:tcPr>
          <w:p w14:paraId="2C34679F"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Maine Department of Transportation</w:t>
            </w:r>
          </w:p>
        </w:tc>
        <w:tc>
          <w:tcPr>
            <w:tcW w:w="900" w:type="dxa"/>
            <w:tcBorders>
              <w:top w:val="nil"/>
              <w:left w:val="nil"/>
              <w:bottom w:val="single" w:sz="4" w:space="0" w:color="auto"/>
              <w:right w:val="single" w:sz="4" w:space="0" w:color="auto"/>
            </w:tcBorders>
            <w:shd w:val="clear" w:color="auto" w:fill="auto"/>
            <w:hideMark/>
          </w:tcPr>
          <w:p w14:paraId="7177FCCD"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MaineDOT</w:t>
            </w:r>
          </w:p>
        </w:tc>
        <w:tc>
          <w:tcPr>
            <w:tcW w:w="1980" w:type="dxa"/>
            <w:tcBorders>
              <w:top w:val="nil"/>
              <w:left w:val="nil"/>
              <w:bottom w:val="single" w:sz="4" w:space="0" w:color="auto"/>
              <w:right w:val="single" w:sz="4" w:space="0" w:color="auto"/>
            </w:tcBorders>
            <w:shd w:val="clear" w:color="auto" w:fill="auto"/>
            <w:hideMark/>
          </w:tcPr>
          <w:p w14:paraId="232A2D99"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Rick Dubois, Multimodal Operations Director</w:t>
            </w:r>
          </w:p>
        </w:tc>
        <w:tc>
          <w:tcPr>
            <w:tcW w:w="2700" w:type="dxa"/>
            <w:tcBorders>
              <w:top w:val="nil"/>
              <w:left w:val="nil"/>
              <w:bottom w:val="single" w:sz="4" w:space="0" w:color="auto"/>
              <w:right w:val="single" w:sz="4" w:space="0" w:color="auto"/>
            </w:tcBorders>
            <w:shd w:val="clear" w:color="auto" w:fill="auto"/>
            <w:hideMark/>
          </w:tcPr>
          <w:p w14:paraId="24241A6E" w14:textId="77777777" w:rsidR="00EB5750" w:rsidRPr="00EB5750" w:rsidRDefault="00122460" w:rsidP="00EB5750">
            <w:pPr>
              <w:spacing w:line="240" w:lineRule="auto"/>
              <w:ind w:left="0"/>
              <w:rPr>
                <w:rFonts w:ascii="Calibri" w:eastAsia="Times New Roman" w:hAnsi="Calibri" w:cs="Calibri"/>
                <w:color w:val="0563C1"/>
                <w:u w:val="single"/>
              </w:rPr>
            </w:pPr>
            <w:hyperlink r:id="rId42" w:history="1">
              <w:r w:rsidR="00EB5750" w:rsidRPr="00EB5750">
                <w:rPr>
                  <w:rFonts w:ascii="Calibri" w:eastAsia="Times New Roman" w:hAnsi="Calibri" w:cs="Calibri"/>
                  <w:color w:val="0563C1"/>
                  <w:u w:val="single"/>
                </w:rPr>
                <w:t>rick.dubois@maine.gov</w:t>
              </w:r>
            </w:hyperlink>
          </w:p>
        </w:tc>
        <w:tc>
          <w:tcPr>
            <w:tcW w:w="2225" w:type="dxa"/>
            <w:tcBorders>
              <w:top w:val="nil"/>
              <w:left w:val="nil"/>
              <w:bottom w:val="single" w:sz="4" w:space="0" w:color="auto"/>
              <w:right w:val="single" w:sz="4" w:space="0" w:color="auto"/>
            </w:tcBorders>
            <w:shd w:val="clear" w:color="auto" w:fill="auto"/>
            <w:hideMark/>
          </w:tcPr>
          <w:p w14:paraId="1816AB41" w14:textId="77777777" w:rsidR="00EB5750" w:rsidRPr="00EB5750" w:rsidRDefault="00EB5750" w:rsidP="00EB5750">
            <w:pPr>
              <w:spacing w:line="240" w:lineRule="auto"/>
              <w:ind w:left="0"/>
              <w:rPr>
                <w:rFonts w:ascii="Calibri" w:eastAsia="Times New Roman" w:hAnsi="Calibri" w:cs="Calibri"/>
                <w:color w:val="000000"/>
              </w:rPr>
            </w:pPr>
            <w:r w:rsidRPr="00EB5750">
              <w:rPr>
                <w:rFonts w:ascii="Calibri" w:eastAsia="Times New Roman" w:hAnsi="Calibri" w:cs="Calibri"/>
                <w:color w:val="000000"/>
              </w:rPr>
              <w:t>624-3312</w:t>
            </w:r>
          </w:p>
        </w:tc>
      </w:tr>
    </w:tbl>
    <w:p w14:paraId="73EA8822" w14:textId="7FD75974" w:rsidR="0078636B" w:rsidRDefault="0078636B" w:rsidP="000D0EEE">
      <w:r>
        <w:br w:type="page"/>
      </w:r>
    </w:p>
    <w:p w14:paraId="1BC8E79B" w14:textId="47255AD5" w:rsidR="001D600C" w:rsidRPr="000D0EEE" w:rsidRDefault="001D600C" w:rsidP="00DD7225"/>
    <w:sectPr w:rsidR="001D600C" w:rsidRPr="000D0EEE" w:rsidSect="00786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437A" w14:textId="77777777" w:rsidR="00BC6009" w:rsidRDefault="00BC6009" w:rsidP="008B20FF">
      <w:pPr>
        <w:spacing w:line="240" w:lineRule="auto"/>
      </w:pPr>
      <w:r>
        <w:separator/>
      </w:r>
    </w:p>
  </w:endnote>
  <w:endnote w:type="continuationSeparator" w:id="0">
    <w:p w14:paraId="362C017B" w14:textId="77777777" w:rsidR="00BC6009" w:rsidRDefault="00BC6009" w:rsidP="008B2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ExtObl-Bold">
    <w:altName w:val="Times New Roman"/>
    <w:charset w:val="00"/>
    <w:family w:val="auto"/>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aramond Premr Pro">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CAEB" w14:textId="77777777" w:rsidR="00393525" w:rsidRDefault="0039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2188" w14:textId="37BFE3E0" w:rsidR="00BC6009" w:rsidRDefault="00BC6009">
    <w:pPr>
      <w:pStyle w:val="Footer"/>
      <w:jc w:val="right"/>
    </w:pPr>
  </w:p>
  <w:p w14:paraId="17F0FD00" w14:textId="77777777" w:rsidR="00BC6009" w:rsidRDefault="00BC6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7D4B" w14:textId="77777777" w:rsidR="00393525" w:rsidRDefault="003935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62696"/>
      <w:docPartObj>
        <w:docPartGallery w:val="Page Numbers (Bottom of Page)"/>
        <w:docPartUnique/>
      </w:docPartObj>
    </w:sdtPr>
    <w:sdtEndPr/>
    <w:sdtContent>
      <w:p w14:paraId="4BD3D212" w14:textId="6D56884E" w:rsidR="00BC6009" w:rsidRPr="00757836" w:rsidRDefault="00BC6009" w:rsidP="00757836">
        <w:pPr>
          <w:pStyle w:val="ReportFooter"/>
        </w:pPr>
        <w:r>
          <w:t xml:space="preserve">Maine </w:t>
        </w:r>
        <w:r w:rsidRPr="00757836">
          <w:t>State Tier II Transit Asset Management Plan</w:t>
        </w:r>
        <w:r>
          <w:t xml:space="preserve"> – Revised 10/2022 Version</w:t>
        </w:r>
        <w:r w:rsidRPr="00757836">
          <w:tab/>
        </w:r>
        <w:r w:rsidRPr="00757836">
          <w:fldChar w:fldCharType="begin"/>
        </w:r>
        <w:r w:rsidRPr="00757836">
          <w:instrText xml:space="preserve"> PAGE   \* MERGEFORMAT </w:instrText>
        </w:r>
        <w:r w:rsidRPr="00757836">
          <w:fldChar w:fldCharType="separate"/>
        </w:r>
        <w:r>
          <w:rPr>
            <w:noProof/>
          </w:rPr>
          <w:t>10</w:t>
        </w:r>
        <w:r w:rsidRPr="0075783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A09F" w14:textId="77777777" w:rsidR="00BC6009" w:rsidRDefault="00BC6009" w:rsidP="008B20FF">
      <w:pPr>
        <w:spacing w:line="240" w:lineRule="auto"/>
      </w:pPr>
      <w:r>
        <w:separator/>
      </w:r>
    </w:p>
  </w:footnote>
  <w:footnote w:type="continuationSeparator" w:id="0">
    <w:p w14:paraId="5BC911F1" w14:textId="77777777" w:rsidR="00BC6009" w:rsidRDefault="00BC6009" w:rsidP="008B20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F4FA" w14:textId="77777777" w:rsidR="00393525" w:rsidRDefault="0039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DED9" w14:textId="6D698A0F" w:rsidR="00393525" w:rsidRDefault="00393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1705" w14:textId="77777777" w:rsidR="00393525" w:rsidRDefault="003935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BC12" w14:textId="30549202" w:rsidR="00BC6009" w:rsidRPr="007338DA" w:rsidRDefault="00BC6009" w:rsidP="007338DA">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0E86"/>
    <w:multiLevelType w:val="hybridMultilevel"/>
    <w:tmpl w:val="CF4C42AC"/>
    <w:lvl w:ilvl="0" w:tplc="8AE60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71B72"/>
    <w:multiLevelType w:val="hybridMultilevel"/>
    <w:tmpl w:val="EB084F4C"/>
    <w:lvl w:ilvl="0" w:tplc="83664B9A">
      <w:start w:val="1"/>
      <w:numFmt w:val="bullet"/>
      <w:pStyle w:val="bullet"/>
      <w:lvlText w:val=""/>
      <w:lvlJc w:val="left"/>
      <w:pPr>
        <w:tabs>
          <w:tab w:val="num" w:pos="360"/>
        </w:tabs>
        <w:ind w:left="360" w:hanging="360"/>
      </w:pPr>
      <w:rPr>
        <w:rFonts w:ascii="Symbol" w:hAnsi="Symbol" w:hint="default"/>
        <w:color w:val="auto"/>
        <w:spacing w:val="0"/>
        <w:position w:val="0"/>
        <w:sz w:val="18"/>
        <w:szCs w:val="18"/>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5E2494"/>
    <w:multiLevelType w:val="hybridMultilevel"/>
    <w:tmpl w:val="C5AC04E2"/>
    <w:lvl w:ilvl="0" w:tplc="48868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072F8"/>
    <w:multiLevelType w:val="hybridMultilevel"/>
    <w:tmpl w:val="E8EE8838"/>
    <w:lvl w:ilvl="0" w:tplc="7CD0B3D8">
      <w:start w:val="1"/>
      <w:numFmt w:val="bullet"/>
      <w:pStyle w:val="FristLevelBullet"/>
      <w:lvlText w:val=""/>
      <w:lvlJc w:val="left"/>
      <w:pPr>
        <w:tabs>
          <w:tab w:val="num" w:pos="720"/>
        </w:tabs>
        <w:ind w:left="720" w:hanging="360"/>
      </w:pPr>
      <w:rPr>
        <w:rFonts w:ascii="Symbol" w:hAnsi="Symbol" w:hint="default"/>
        <w:color w:val="auto"/>
      </w:rPr>
    </w:lvl>
    <w:lvl w:ilvl="1" w:tplc="3628E4AA">
      <w:start w:val="1"/>
      <w:numFmt w:val="bullet"/>
      <w:pStyle w:val="SecondLevelBullet"/>
      <w:lvlText w:val="o"/>
      <w:lvlJc w:val="left"/>
      <w:pPr>
        <w:tabs>
          <w:tab w:val="num" w:pos="1440"/>
        </w:tabs>
        <w:ind w:left="1440" w:hanging="360"/>
      </w:pPr>
      <w:rPr>
        <w:rFonts w:ascii="Courier New" w:hAnsi="Courier New" w:cs="Courier New" w:hint="default"/>
      </w:rPr>
    </w:lvl>
    <w:lvl w:ilvl="2" w:tplc="0BBA207C">
      <w:start w:val="1"/>
      <w:numFmt w:val="bullet"/>
      <w:pStyle w:val="ThirdLevelBullet"/>
      <w:lvlText w:val=""/>
      <w:lvlJc w:val="left"/>
      <w:pPr>
        <w:tabs>
          <w:tab w:val="num" w:pos="2160"/>
        </w:tabs>
        <w:ind w:left="2160" w:hanging="360"/>
      </w:pPr>
      <w:rPr>
        <w:rFonts w:ascii="Wingdings" w:hAnsi="Wingdings" w:hint="default"/>
      </w:rPr>
    </w:lvl>
    <w:lvl w:ilvl="3" w:tplc="6F5693F2">
      <w:start w:val="1"/>
      <w:numFmt w:val="bullet"/>
      <w:pStyle w:val="FourthLeve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CF7091"/>
    <w:multiLevelType w:val="hybridMultilevel"/>
    <w:tmpl w:val="88CC87DE"/>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15:restartNumberingAfterBreak="0">
    <w:nsid w:val="4EDA3A73"/>
    <w:multiLevelType w:val="hybridMultilevel"/>
    <w:tmpl w:val="3C6EA96A"/>
    <w:lvl w:ilvl="0" w:tplc="8AE60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52F1A"/>
    <w:multiLevelType w:val="hybridMultilevel"/>
    <w:tmpl w:val="5B6C90D4"/>
    <w:lvl w:ilvl="0" w:tplc="11121AD6">
      <w:start w:val="1"/>
      <w:numFmt w:val="bullet"/>
      <w:pStyle w:val="Subtitle"/>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00965"/>
    <w:multiLevelType w:val="hybridMultilevel"/>
    <w:tmpl w:val="4564901C"/>
    <w:lvl w:ilvl="0" w:tplc="8AE60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06E94"/>
    <w:multiLevelType w:val="hybridMultilevel"/>
    <w:tmpl w:val="6E16B9DE"/>
    <w:lvl w:ilvl="0" w:tplc="48868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8"/>
  </w:num>
  <w:num w:numId="7">
    <w:abstractNumId w:val="6"/>
    <w:lvlOverride w:ilvl="0">
      <w:startOverride w:val="1"/>
    </w:lvlOverride>
  </w:num>
  <w:num w:numId="8">
    <w:abstractNumId w:val="6"/>
    <w:lvlOverride w:ilvl="0">
      <w:startOverride w:val="1"/>
    </w:lvlOverride>
  </w:num>
  <w:num w:numId="9">
    <w:abstractNumId w:val="1"/>
  </w:num>
  <w:num w:numId="10">
    <w:abstractNumId w:val="3"/>
  </w:num>
  <w:num w:numId="11">
    <w:abstractNumId w:val="3"/>
  </w:num>
  <w:num w:numId="12">
    <w:abstractNumId w:val="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4E"/>
    <w:rsid w:val="0000136E"/>
    <w:rsid w:val="000079A4"/>
    <w:rsid w:val="0001149F"/>
    <w:rsid w:val="00023DEB"/>
    <w:rsid w:val="00051040"/>
    <w:rsid w:val="00057216"/>
    <w:rsid w:val="00057670"/>
    <w:rsid w:val="000602A8"/>
    <w:rsid w:val="000610EB"/>
    <w:rsid w:val="0006200B"/>
    <w:rsid w:val="000806E8"/>
    <w:rsid w:val="00082B29"/>
    <w:rsid w:val="00086894"/>
    <w:rsid w:val="000A1667"/>
    <w:rsid w:val="000B24EC"/>
    <w:rsid w:val="000B7692"/>
    <w:rsid w:val="000C0532"/>
    <w:rsid w:val="000C50C4"/>
    <w:rsid w:val="000C5140"/>
    <w:rsid w:val="000D0EEE"/>
    <w:rsid w:val="000D1E71"/>
    <w:rsid w:val="000E2B20"/>
    <w:rsid w:val="000E55FB"/>
    <w:rsid w:val="000E6AE7"/>
    <w:rsid w:val="000E7C62"/>
    <w:rsid w:val="00102C67"/>
    <w:rsid w:val="00114423"/>
    <w:rsid w:val="0011750F"/>
    <w:rsid w:val="00122460"/>
    <w:rsid w:val="001556E6"/>
    <w:rsid w:val="00162373"/>
    <w:rsid w:val="00165A27"/>
    <w:rsid w:val="001762FB"/>
    <w:rsid w:val="0017632A"/>
    <w:rsid w:val="00187DDE"/>
    <w:rsid w:val="00190D26"/>
    <w:rsid w:val="00196CD8"/>
    <w:rsid w:val="001A16B3"/>
    <w:rsid w:val="001B1207"/>
    <w:rsid w:val="001B1344"/>
    <w:rsid w:val="001B2B02"/>
    <w:rsid w:val="001C02D2"/>
    <w:rsid w:val="001C234B"/>
    <w:rsid w:val="001C349D"/>
    <w:rsid w:val="001C3B40"/>
    <w:rsid w:val="001C4974"/>
    <w:rsid w:val="001C5C7A"/>
    <w:rsid w:val="001D600C"/>
    <w:rsid w:val="001E233F"/>
    <w:rsid w:val="001E35A4"/>
    <w:rsid w:val="001E3F2E"/>
    <w:rsid w:val="001F58E8"/>
    <w:rsid w:val="001F792C"/>
    <w:rsid w:val="00206EE8"/>
    <w:rsid w:val="00210D36"/>
    <w:rsid w:val="00211222"/>
    <w:rsid w:val="0021131A"/>
    <w:rsid w:val="002216F8"/>
    <w:rsid w:val="00223884"/>
    <w:rsid w:val="0023044C"/>
    <w:rsid w:val="0023090A"/>
    <w:rsid w:val="0023331A"/>
    <w:rsid w:val="00235316"/>
    <w:rsid w:val="002356B4"/>
    <w:rsid w:val="00236C7F"/>
    <w:rsid w:val="002373A4"/>
    <w:rsid w:val="00241D55"/>
    <w:rsid w:val="00242743"/>
    <w:rsid w:val="00250162"/>
    <w:rsid w:val="0025437A"/>
    <w:rsid w:val="00260360"/>
    <w:rsid w:val="00263AF8"/>
    <w:rsid w:val="00264AEF"/>
    <w:rsid w:val="00267193"/>
    <w:rsid w:val="00267E89"/>
    <w:rsid w:val="00277E9C"/>
    <w:rsid w:val="002921EB"/>
    <w:rsid w:val="002A0667"/>
    <w:rsid w:val="002B2782"/>
    <w:rsid w:val="002B7D54"/>
    <w:rsid w:val="002C429A"/>
    <w:rsid w:val="002D25D9"/>
    <w:rsid w:val="002D3060"/>
    <w:rsid w:val="002E1062"/>
    <w:rsid w:val="002E663B"/>
    <w:rsid w:val="003074B3"/>
    <w:rsid w:val="00310323"/>
    <w:rsid w:val="00311374"/>
    <w:rsid w:val="00315BE3"/>
    <w:rsid w:val="0032731F"/>
    <w:rsid w:val="00330A05"/>
    <w:rsid w:val="0033690F"/>
    <w:rsid w:val="00340EE7"/>
    <w:rsid w:val="00342434"/>
    <w:rsid w:val="00343B61"/>
    <w:rsid w:val="00344DD6"/>
    <w:rsid w:val="00346381"/>
    <w:rsid w:val="0035228A"/>
    <w:rsid w:val="00353F0A"/>
    <w:rsid w:val="00354BA9"/>
    <w:rsid w:val="00360A90"/>
    <w:rsid w:val="00361CB9"/>
    <w:rsid w:val="00364FAD"/>
    <w:rsid w:val="00375D3C"/>
    <w:rsid w:val="003803B7"/>
    <w:rsid w:val="00381BC8"/>
    <w:rsid w:val="0038728D"/>
    <w:rsid w:val="00393525"/>
    <w:rsid w:val="003A203E"/>
    <w:rsid w:val="003A3CDE"/>
    <w:rsid w:val="003A5A28"/>
    <w:rsid w:val="003A5B65"/>
    <w:rsid w:val="003C0293"/>
    <w:rsid w:val="003C1CBF"/>
    <w:rsid w:val="003C506F"/>
    <w:rsid w:val="003C6E8A"/>
    <w:rsid w:val="003D1E60"/>
    <w:rsid w:val="003D767F"/>
    <w:rsid w:val="003E4CA9"/>
    <w:rsid w:val="003E721E"/>
    <w:rsid w:val="003F03ED"/>
    <w:rsid w:val="003F2760"/>
    <w:rsid w:val="0040487E"/>
    <w:rsid w:val="004107E7"/>
    <w:rsid w:val="00422253"/>
    <w:rsid w:val="00425903"/>
    <w:rsid w:val="00426AE9"/>
    <w:rsid w:val="00432C5D"/>
    <w:rsid w:val="00436817"/>
    <w:rsid w:val="004415EA"/>
    <w:rsid w:val="00446631"/>
    <w:rsid w:val="0044684A"/>
    <w:rsid w:val="00451AA0"/>
    <w:rsid w:val="004524F2"/>
    <w:rsid w:val="0045279E"/>
    <w:rsid w:val="00456894"/>
    <w:rsid w:val="00457C6A"/>
    <w:rsid w:val="0046406F"/>
    <w:rsid w:val="004649D6"/>
    <w:rsid w:val="0046569A"/>
    <w:rsid w:val="00473AA6"/>
    <w:rsid w:val="00484E53"/>
    <w:rsid w:val="00493F14"/>
    <w:rsid w:val="004B2765"/>
    <w:rsid w:val="004B364E"/>
    <w:rsid w:val="004C1EAA"/>
    <w:rsid w:val="004C22D8"/>
    <w:rsid w:val="004D00BB"/>
    <w:rsid w:val="004D0A15"/>
    <w:rsid w:val="004D191C"/>
    <w:rsid w:val="004D2DF2"/>
    <w:rsid w:val="004D752D"/>
    <w:rsid w:val="004E33E8"/>
    <w:rsid w:val="004F3A07"/>
    <w:rsid w:val="004F711F"/>
    <w:rsid w:val="0050140F"/>
    <w:rsid w:val="005025E0"/>
    <w:rsid w:val="00504BAA"/>
    <w:rsid w:val="00512494"/>
    <w:rsid w:val="00517336"/>
    <w:rsid w:val="0052145A"/>
    <w:rsid w:val="00523159"/>
    <w:rsid w:val="005322DA"/>
    <w:rsid w:val="005374B2"/>
    <w:rsid w:val="00544494"/>
    <w:rsid w:val="00547CD0"/>
    <w:rsid w:val="00557DCC"/>
    <w:rsid w:val="005667C5"/>
    <w:rsid w:val="005709D7"/>
    <w:rsid w:val="00580DE6"/>
    <w:rsid w:val="005862BD"/>
    <w:rsid w:val="00587D55"/>
    <w:rsid w:val="00590497"/>
    <w:rsid w:val="00593783"/>
    <w:rsid w:val="00596F27"/>
    <w:rsid w:val="00597D23"/>
    <w:rsid w:val="005A2B64"/>
    <w:rsid w:val="005A4B30"/>
    <w:rsid w:val="005A5772"/>
    <w:rsid w:val="005A61E4"/>
    <w:rsid w:val="005B0E18"/>
    <w:rsid w:val="005B1E0B"/>
    <w:rsid w:val="005B73A7"/>
    <w:rsid w:val="005C1FC1"/>
    <w:rsid w:val="005C7DF4"/>
    <w:rsid w:val="005D7A79"/>
    <w:rsid w:val="005E543B"/>
    <w:rsid w:val="005E7A7E"/>
    <w:rsid w:val="005F1E80"/>
    <w:rsid w:val="005F5D83"/>
    <w:rsid w:val="006071E3"/>
    <w:rsid w:val="0061176B"/>
    <w:rsid w:val="00612DAE"/>
    <w:rsid w:val="00620860"/>
    <w:rsid w:val="0063007C"/>
    <w:rsid w:val="0063410F"/>
    <w:rsid w:val="00642DA5"/>
    <w:rsid w:val="006452E0"/>
    <w:rsid w:val="00646F65"/>
    <w:rsid w:val="006539E4"/>
    <w:rsid w:val="00656B22"/>
    <w:rsid w:val="006644FC"/>
    <w:rsid w:val="00665280"/>
    <w:rsid w:val="006670B9"/>
    <w:rsid w:val="006778FE"/>
    <w:rsid w:val="00683F37"/>
    <w:rsid w:val="00685AAF"/>
    <w:rsid w:val="00692AEC"/>
    <w:rsid w:val="006A4C96"/>
    <w:rsid w:val="006B33E4"/>
    <w:rsid w:val="006D09E3"/>
    <w:rsid w:val="006E1518"/>
    <w:rsid w:val="006E2614"/>
    <w:rsid w:val="006E3419"/>
    <w:rsid w:val="006E6FF4"/>
    <w:rsid w:val="006F613E"/>
    <w:rsid w:val="00700000"/>
    <w:rsid w:val="007124BA"/>
    <w:rsid w:val="00716CA6"/>
    <w:rsid w:val="007210B9"/>
    <w:rsid w:val="00725055"/>
    <w:rsid w:val="00725F78"/>
    <w:rsid w:val="007338DA"/>
    <w:rsid w:val="00736E69"/>
    <w:rsid w:val="00740353"/>
    <w:rsid w:val="00741787"/>
    <w:rsid w:val="00745509"/>
    <w:rsid w:val="00745B56"/>
    <w:rsid w:val="00745D40"/>
    <w:rsid w:val="00757836"/>
    <w:rsid w:val="0076282C"/>
    <w:rsid w:val="007716FB"/>
    <w:rsid w:val="00772073"/>
    <w:rsid w:val="007748C6"/>
    <w:rsid w:val="00775C5F"/>
    <w:rsid w:val="0078636B"/>
    <w:rsid w:val="0079165F"/>
    <w:rsid w:val="00791F80"/>
    <w:rsid w:val="00795D6F"/>
    <w:rsid w:val="007969BE"/>
    <w:rsid w:val="007A3B74"/>
    <w:rsid w:val="007B0559"/>
    <w:rsid w:val="007B068F"/>
    <w:rsid w:val="007B091A"/>
    <w:rsid w:val="007B29E1"/>
    <w:rsid w:val="007B7161"/>
    <w:rsid w:val="007C4D9D"/>
    <w:rsid w:val="007C4FD5"/>
    <w:rsid w:val="007C6098"/>
    <w:rsid w:val="007D0ADB"/>
    <w:rsid w:val="007D4FDB"/>
    <w:rsid w:val="007E03A9"/>
    <w:rsid w:val="007E1D14"/>
    <w:rsid w:val="007E298B"/>
    <w:rsid w:val="007E6F80"/>
    <w:rsid w:val="007F5741"/>
    <w:rsid w:val="007F76D3"/>
    <w:rsid w:val="00802E48"/>
    <w:rsid w:val="00805D12"/>
    <w:rsid w:val="008060B6"/>
    <w:rsid w:val="00806B6C"/>
    <w:rsid w:val="00810F86"/>
    <w:rsid w:val="008224C8"/>
    <w:rsid w:val="008229B9"/>
    <w:rsid w:val="00837124"/>
    <w:rsid w:val="00845DD7"/>
    <w:rsid w:val="00852193"/>
    <w:rsid w:val="00852DC4"/>
    <w:rsid w:val="0085500E"/>
    <w:rsid w:val="008639D9"/>
    <w:rsid w:val="008659F9"/>
    <w:rsid w:val="00871D6F"/>
    <w:rsid w:val="00874A54"/>
    <w:rsid w:val="00880998"/>
    <w:rsid w:val="00892ADC"/>
    <w:rsid w:val="00894140"/>
    <w:rsid w:val="00896B3A"/>
    <w:rsid w:val="008A6B89"/>
    <w:rsid w:val="008B20E2"/>
    <w:rsid w:val="008B20FF"/>
    <w:rsid w:val="008B6262"/>
    <w:rsid w:val="008C0F27"/>
    <w:rsid w:val="008C330C"/>
    <w:rsid w:val="008C3CF4"/>
    <w:rsid w:val="008D2FC5"/>
    <w:rsid w:val="008E372C"/>
    <w:rsid w:val="008E4B13"/>
    <w:rsid w:val="008E5B24"/>
    <w:rsid w:val="008F24B5"/>
    <w:rsid w:val="008F30B5"/>
    <w:rsid w:val="00900C62"/>
    <w:rsid w:val="0090303D"/>
    <w:rsid w:val="00914D53"/>
    <w:rsid w:val="00916032"/>
    <w:rsid w:val="00917350"/>
    <w:rsid w:val="0092225A"/>
    <w:rsid w:val="00923417"/>
    <w:rsid w:val="00924C45"/>
    <w:rsid w:val="0093259E"/>
    <w:rsid w:val="009331A0"/>
    <w:rsid w:val="00935940"/>
    <w:rsid w:val="00937C11"/>
    <w:rsid w:val="009417F9"/>
    <w:rsid w:val="009532F2"/>
    <w:rsid w:val="009569A9"/>
    <w:rsid w:val="0096038F"/>
    <w:rsid w:val="0096285E"/>
    <w:rsid w:val="00964576"/>
    <w:rsid w:val="009718F8"/>
    <w:rsid w:val="00971D09"/>
    <w:rsid w:val="009758C0"/>
    <w:rsid w:val="00981680"/>
    <w:rsid w:val="00983AE9"/>
    <w:rsid w:val="00983CCA"/>
    <w:rsid w:val="00997660"/>
    <w:rsid w:val="009A03AC"/>
    <w:rsid w:val="009A4675"/>
    <w:rsid w:val="009A7FDC"/>
    <w:rsid w:val="009B21EE"/>
    <w:rsid w:val="009B73DA"/>
    <w:rsid w:val="009C039B"/>
    <w:rsid w:val="009D28BB"/>
    <w:rsid w:val="009D76CC"/>
    <w:rsid w:val="009E7DF6"/>
    <w:rsid w:val="009F3677"/>
    <w:rsid w:val="00A007A1"/>
    <w:rsid w:val="00A05370"/>
    <w:rsid w:val="00A067CD"/>
    <w:rsid w:val="00A12714"/>
    <w:rsid w:val="00A13AEB"/>
    <w:rsid w:val="00A20AB5"/>
    <w:rsid w:val="00A24296"/>
    <w:rsid w:val="00A261F7"/>
    <w:rsid w:val="00A30380"/>
    <w:rsid w:val="00A307F7"/>
    <w:rsid w:val="00A3799E"/>
    <w:rsid w:val="00A440FB"/>
    <w:rsid w:val="00A444CC"/>
    <w:rsid w:val="00A452F1"/>
    <w:rsid w:val="00A5351F"/>
    <w:rsid w:val="00A57488"/>
    <w:rsid w:val="00A627CA"/>
    <w:rsid w:val="00A76EA9"/>
    <w:rsid w:val="00A81F91"/>
    <w:rsid w:val="00A96C67"/>
    <w:rsid w:val="00AB0A86"/>
    <w:rsid w:val="00AB44A7"/>
    <w:rsid w:val="00AB7C33"/>
    <w:rsid w:val="00AC306F"/>
    <w:rsid w:val="00AC3167"/>
    <w:rsid w:val="00AD2EE9"/>
    <w:rsid w:val="00AD6972"/>
    <w:rsid w:val="00AE0A5B"/>
    <w:rsid w:val="00AE67D3"/>
    <w:rsid w:val="00AE73A2"/>
    <w:rsid w:val="00B038DE"/>
    <w:rsid w:val="00B050DA"/>
    <w:rsid w:val="00B06107"/>
    <w:rsid w:val="00B06D49"/>
    <w:rsid w:val="00B074F8"/>
    <w:rsid w:val="00B16FBF"/>
    <w:rsid w:val="00B1775C"/>
    <w:rsid w:val="00B22341"/>
    <w:rsid w:val="00B23B2A"/>
    <w:rsid w:val="00B24427"/>
    <w:rsid w:val="00B2587A"/>
    <w:rsid w:val="00B2619A"/>
    <w:rsid w:val="00B32A95"/>
    <w:rsid w:val="00B35523"/>
    <w:rsid w:val="00B52DEE"/>
    <w:rsid w:val="00B55721"/>
    <w:rsid w:val="00B615B6"/>
    <w:rsid w:val="00B70681"/>
    <w:rsid w:val="00B72EEF"/>
    <w:rsid w:val="00B76D13"/>
    <w:rsid w:val="00B775E0"/>
    <w:rsid w:val="00B84D4E"/>
    <w:rsid w:val="00BA14B8"/>
    <w:rsid w:val="00BA1763"/>
    <w:rsid w:val="00BA7FF6"/>
    <w:rsid w:val="00BB1208"/>
    <w:rsid w:val="00BB75DD"/>
    <w:rsid w:val="00BC3C65"/>
    <w:rsid w:val="00BC6009"/>
    <w:rsid w:val="00BC7BAC"/>
    <w:rsid w:val="00BD1061"/>
    <w:rsid w:val="00BD7191"/>
    <w:rsid w:val="00BD731F"/>
    <w:rsid w:val="00BE1C8F"/>
    <w:rsid w:val="00BE5F13"/>
    <w:rsid w:val="00BF44CA"/>
    <w:rsid w:val="00BF6BB3"/>
    <w:rsid w:val="00C06A08"/>
    <w:rsid w:val="00C07030"/>
    <w:rsid w:val="00C109D0"/>
    <w:rsid w:val="00C17A33"/>
    <w:rsid w:val="00C34A57"/>
    <w:rsid w:val="00C36AB7"/>
    <w:rsid w:val="00C40C9F"/>
    <w:rsid w:val="00C418A0"/>
    <w:rsid w:val="00C427F3"/>
    <w:rsid w:val="00C51B85"/>
    <w:rsid w:val="00C51EC9"/>
    <w:rsid w:val="00C61CEA"/>
    <w:rsid w:val="00C7355C"/>
    <w:rsid w:val="00C75458"/>
    <w:rsid w:val="00C75689"/>
    <w:rsid w:val="00C8002F"/>
    <w:rsid w:val="00C80813"/>
    <w:rsid w:val="00C95A30"/>
    <w:rsid w:val="00CA4842"/>
    <w:rsid w:val="00CA48EF"/>
    <w:rsid w:val="00CA6A9F"/>
    <w:rsid w:val="00CB3EBE"/>
    <w:rsid w:val="00CB7668"/>
    <w:rsid w:val="00CB7964"/>
    <w:rsid w:val="00CC09AD"/>
    <w:rsid w:val="00CC1B07"/>
    <w:rsid w:val="00CC28C7"/>
    <w:rsid w:val="00CC29B5"/>
    <w:rsid w:val="00CD35CA"/>
    <w:rsid w:val="00CD3A09"/>
    <w:rsid w:val="00CE5C48"/>
    <w:rsid w:val="00CE75BD"/>
    <w:rsid w:val="00CF3A53"/>
    <w:rsid w:val="00CF6AE2"/>
    <w:rsid w:val="00D0371F"/>
    <w:rsid w:val="00D05C81"/>
    <w:rsid w:val="00D07CCC"/>
    <w:rsid w:val="00D11F37"/>
    <w:rsid w:val="00D17055"/>
    <w:rsid w:val="00D17F83"/>
    <w:rsid w:val="00D249C1"/>
    <w:rsid w:val="00D30AB3"/>
    <w:rsid w:val="00D3554A"/>
    <w:rsid w:val="00D35B3D"/>
    <w:rsid w:val="00D36F33"/>
    <w:rsid w:val="00D41F43"/>
    <w:rsid w:val="00D529D8"/>
    <w:rsid w:val="00D61EB3"/>
    <w:rsid w:val="00D63C0B"/>
    <w:rsid w:val="00D73180"/>
    <w:rsid w:val="00D734EB"/>
    <w:rsid w:val="00D739CB"/>
    <w:rsid w:val="00D74700"/>
    <w:rsid w:val="00D83D09"/>
    <w:rsid w:val="00D84A23"/>
    <w:rsid w:val="00D90F29"/>
    <w:rsid w:val="00D92802"/>
    <w:rsid w:val="00D9458E"/>
    <w:rsid w:val="00DA0923"/>
    <w:rsid w:val="00DA1617"/>
    <w:rsid w:val="00DA533F"/>
    <w:rsid w:val="00DA5484"/>
    <w:rsid w:val="00DA5A3C"/>
    <w:rsid w:val="00DB156A"/>
    <w:rsid w:val="00DB5084"/>
    <w:rsid w:val="00DC7755"/>
    <w:rsid w:val="00DD1D44"/>
    <w:rsid w:val="00DD64B8"/>
    <w:rsid w:val="00DD7225"/>
    <w:rsid w:val="00DF4579"/>
    <w:rsid w:val="00E053FA"/>
    <w:rsid w:val="00E0673B"/>
    <w:rsid w:val="00E11DF6"/>
    <w:rsid w:val="00E13222"/>
    <w:rsid w:val="00E13F26"/>
    <w:rsid w:val="00E150BA"/>
    <w:rsid w:val="00E15AC6"/>
    <w:rsid w:val="00E17ADB"/>
    <w:rsid w:val="00E17B4C"/>
    <w:rsid w:val="00E2392F"/>
    <w:rsid w:val="00E24018"/>
    <w:rsid w:val="00E242BE"/>
    <w:rsid w:val="00E274B2"/>
    <w:rsid w:val="00E319DB"/>
    <w:rsid w:val="00E41E1C"/>
    <w:rsid w:val="00E537BF"/>
    <w:rsid w:val="00E56EA7"/>
    <w:rsid w:val="00E572CA"/>
    <w:rsid w:val="00E57E94"/>
    <w:rsid w:val="00E604ED"/>
    <w:rsid w:val="00E66D30"/>
    <w:rsid w:val="00E725E7"/>
    <w:rsid w:val="00E85F20"/>
    <w:rsid w:val="00E86435"/>
    <w:rsid w:val="00EA39B3"/>
    <w:rsid w:val="00EA72F9"/>
    <w:rsid w:val="00EB5750"/>
    <w:rsid w:val="00EB76F6"/>
    <w:rsid w:val="00EC2308"/>
    <w:rsid w:val="00EC4EF9"/>
    <w:rsid w:val="00EC542A"/>
    <w:rsid w:val="00EC6847"/>
    <w:rsid w:val="00EC6B82"/>
    <w:rsid w:val="00EE0BBC"/>
    <w:rsid w:val="00EE1001"/>
    <w:rsid w:val="00EE3023"/>
    <w:rsid w:val="00EE6C3E"/>
    <w:rsid w:val="00EF0F85"/>
    <w:rsid w:val="00F17299"/>
    <w:rsid w:val="00F21480"/>
    <w:rsid w:val="00F24086"/>
    <w:rsid w:val="00F27716"/>
    <w:rsid w:val="00F3226C"/>
    <w:rsid w:val="00F33167"/>
    <w:rsid w:val="00F36EA4"/>
    <w:rsid w:val="00F43C74"/>
    <w:rsid w:val="00F4672A"/>
    <w:rsid w:val="00F5148D"/>
    <w:rsid w:val="00F53B92"/>
    <w:rsid w:val="00F56EBA"/>
    <w:rsid w:val="00F624EB"/>
    <w:rsid w:val="00F66A6D"/>
    <w:rsid w:val="00F938B0"/>
    <w:rsid w:val="00F950A9"/>
    <w:rsid w:val="00FA66D8"/>
    <w:rsid w:val="00FA70CE"/>
    <w:rsid w:val="00FC0661"/>
    <w:rsid w:val="00FC6715"/>
    <w:rsid w:val="00FC6753"/>
    <w:rsid w:val="00FC6BF3"/>
    <w:rsid w:val="00FD126F"/>
    <w:rsid w:val="00FD2383"/>
    <w:rsid w:val="00FD2B0D"/>
    <w:rsid w:val="00FD4D7A"/>
    <w:rsid w:val="00FD5C0A"/>
    <w:rsid w:val="00FD630E"/>
    <w:rsid w:val="00FD7E2C"/>
    <w:rsid w:val="00FE05F4"/>
    <w:rsid w:val="00FE2B12"/>
    <w:rsid w:val="00FF0681"/>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E8FD2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aliases w:val="RLS Normal"/>
    <w:qFormat/>
    <w:rsid w:val="001E233F"/>
    <w:pPr>
      <w:spacing w:after="0" w:line="264" w:lineRule="auto"/>
      <w:ind w:left="270"/>
    </w:pPr>
    <w:rPr>
      <w:rFonts w:ascii="Cambria" w:eastAsia="Calibri" w:hAnsi="Cambria" w:cs="Times New Roman"/>
    </w:rPr>
  </w:style>
  <w:style w:type="paragraph" w:styleId="Heading1">
    <w:name w:val="heading 1"/>
    <w:aliases w:val="RLS 1-Heading"/>
    <w:basedOn w:val="Normal"/>
    <w:next w:val="Normal"/>
    <w:link w:val="Heading1Char"/>
    <w:uiPriority w:val="9"/>
    <w:qFormat/>
    <w:rsid w:val="00757836"/>
    <w:pPr>
      <w:ind w:left="274"/>
      <w:outlineLvl w:val="0"/>
    </w:pPr>
    <w:rPr>
      <w:b/>
      <w:caps/>
      <w:sz w:val="28"/>
      <w:szCs w:val="28"/>
    </w:rPr>
  </w:style>
  <w:style w:type="paragraph" w:styleId="Heading2">
    <w:name w:val="heading 2"/>
    <w:aliases w:val="RLS 2-Heading"/>
    <w:basedOn w:val="Heading1"/>
    <w:next w:val="Normal"/>
    <w:link w:val="Heading2Char"/>
    <w:qFormat/>
    <w:rsid w:val="00757836"/>
    <w:pPr>
      <w:outlineLvl w:val="1"/>
    </w:pPr>
    <w:rPr>
      <w:sz w:val="24"/>
      <w:szCs w:val="24"/>
    </w:rPr>
  </w:style>
  <w:style w:type="paragraph" w:styleId="Heading3">
    <w:name w:val="heading 3"/>
    <w:aliases w:val="RLS 3-Heading"/>
    <w:basedOn w:val="Heading4"/>
    <w:next w:val="Normal"/>
    <w:link w:val="Heading3Char"/>
    <w:qFormat/>
    <w:rsid w:val="00757836"/>
    <w:pPr>
      <w:outlineLvl w:val="2"/>
    </w:pPr>
    <w:rPr>
      <w:i w:val="0"/>
    </w:rPr>
  </w:style>
  <w:style w:type="paragraph" w:styleId="Heading4">
    <w:name w:val="heading 4"/>
    <w:aliases w:val="RLS 4-Heading"/>
    <w:basedOn w:val="Normal"/>
    <w:next w:val="Normal"/>
    <w:link w:val="Heading4Char"/>
    <w:qFormat/>
    <w:rsid w:val="00757836"/>
    <w:pPr>
      <w:outlineLvl w:val="3"/>
    </w:pPr>
    <w:rPr>
      <w:b/>
      <w:i/>
      <w:u w:val="single"/>
    </w:rPr>
  </w:style>
  <w:style w:type="paragraph" w:styleId="Heading5">
    <w:name w:val="heading 5"/>
    <w:basedOn w:val="Normal"/>
    <w:next w:val="Normal"/>
    <w:link w:val="Heading5Char"/>
    <w:uiPriority w:val="9"/>
    <w:semiHidden/>
    <w:unhideWhenUsed/>
    <w:qFormat/>
    <w:rsid w:val="009569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69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69A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69A9"/>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569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LS 1-Heading Char"/>
    <w:basedOn w:val="DefaultParagraphFont"/>
    <w:link w:val="Heading1"/>
    <w:uiPriority w:val="9"/>
    <w:rsid w:val="00757836"/>
    <w:rPr>
      <w:rFonts w:ascii="Cambria" w:eastAsia="Calibri" w:hAnsi="Cambria" w:cs="Times New Roman"/>
      <w:b/>
      <w:caps/>
      <w:sz w:val="28"/>
      <w:szCs w:val="28"/>
    </w:rPr>
  </w:style>
  <w:style w:type="character" w:customStyle="1" w:styleId="Heading2Char">
    <w:name w:val="Heading 2 Char"/>
    <w:aliases w:val="RLS 2-Heading Char"/>
    <w:basedOn w:val="DefaultParagraphFont"/>
    <w:link w:val="Heading2"/>
    <w:rsid w:val="00757836"/>
    <w:rPr>
      <w:rFonts w:ascii="Cambria" w:eastAsia="Calibri" w:hAnsi="Cambria" w:cs="Times New Roman"/>
      <w:b/>
      <w:caps/>
      <w:sz w:val="24"/>
      <w:szCs w:val="24"/>
    </w:rPr>
  </w:style>
  <w:style w:type="character" w:customStyle="1" w:styleId="Heading4Char">
    <w:name w:val="Heading 4 Char"/>
    <w:aliases w:val="RLS 4-Heading Char"/>
    <w:basedOn w:val="DefaultParagraphFont"/>
    <w:link w:val="Heading4"/>
    <w:rsid w:val="00757836"/>
    <w:rPr>
      <w:rFonts w:ascii="Cambria" w:eastAsia="Calibri" w:hAnsi="Cambria" w:cs="Times New Roman"/>
      <w:b/>
      <w:i/>
      <w:u w:val="single"/>
    </w:rPr>
  </w:style>
  <w:style w:type="character" w:customStyle="1" w:styleId="Heading3Char">
    <w:name w:val="Heading 3 Char"/>
    <w:aliases w:val="RLS 3-Heading Char"/>
    <w:basedOn w:val="DefaultParagraphFont"/>
    <w:link w:val="Heading3"/>
    <w:rsid w:val="00757836"/>
    <w:rPr>
      <w:rFonts w:ascii="Cambria" w:eastAsia="Calibri" w:hAnsi="Cambria" w:cs="Times New Roman"/>
      <w:b/>
      <w:u w:val="single"/>
    </w:rPr>
  </w:style>
  <w:style w:type="character" w:customStyle="1" w:styleId="Heading5Char">
    <w:name w:val="Heading 5 Char"/>
    <w:basedOn w:val="DefaultParagraphFont"/>
    <w:link w:val="Heading5"/>
    <w:uiPriority w:val="9"/>
    <w:semiHidden/>
    <w:rsid w:val="009569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69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69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69A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569A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569A9"/>
    <w:pPr>
      <w:spacing w:line="240" w:lineRule="auto"/>
    </w:pPr>
    <w:rPr>
      <w:b/>
      <w:bCs/>
      <w:color w:val="4F81BD" w:themeColor="accent1"/>
      <w:sz w:val="18"/>
      <w:szCs w:val="18"/>
    </w:rPr>
  </w:style>
  <w:style w:type="paragraph" w:styleId="Title">
    <w:name w:val="Title"/>
    <w:basedOn w:val="Normal"/>
    <w:next w:val="Normal"/>
    <w:link w:val="TitleChar"/>
    <w:uiPriority w:val="10"/>
    <w:qFormat/>
    <w:rsid w:val="009569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9A9"/>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Numbering"/>
    <w:basedOn w:val="ListParagraph"/>
    <w:next w:val="Normal"/>
    <w:link w:val="SubtitleChar"/>
    <w:uiPriority w:val="11"/>
    <w:qFormat/>
    <w:rsid w:val="00700000"/>
    <w:pPr>
      <w:numPr>
        <w:numId w:val="4"/>
      </w:numPr>
    </w:pPr>
  </w:style>
  <w:style w:type="paragraph" w:styleId="ListParagraph">
    <w:name w:val="List Paragraph"/>
    <w:basedOn w:val="Normal"/>
    <w:link w:val="ListParagraphChar"/>
    <w:uiPriority w:val="34"/>
    <w:rsid w:val="00757836"/>
    <w:pPr>
      <w:ind w:left="720"/>
      <w:contextualSpacing/>
    </w:pPr>
  </w:style>
  <w:style w:type="character" w:customStyle="1" w:styleId="ListParagraphChar">
    <w:name w:val="List Paragraph Char"/>
    <w:basedOn w:val="DefaultParagraphFont"/>
    <w:link w:val="ListParagraph"/>
    <w:uiPriority w:val="34"/>
    <w:rsid w:val="00757836"/>
    <w:rPr>
      <w:rFonts w:ascii="Cambria" w:eastAsia="Calibri" w:hAnsi="Cambria" w:cs="Times New Roman"/>
    </w:rPr>
  </w:style>
  <w:style w:type="character" w:customStyle="1" w:styleId="SubtitleChar">
    <w:name w:val="Subtitle Char"/>
    <w:aliases w:val="Numbering Char"/>
    <w:basedOn w:val="DefaultParagraphFont"/>
    <w:link w:val="Subtitle"/>
    <w:uiPriority w:val="11"/>
    <w:rsid w:val="00700000"/>
  </w:style>
  <w:style w:type="character" w:styleId="Strong">
    <w:name w:val="Strong"/>
    <w:aliases w:val="Table Heading"/>
    <w:uiPriority w:val="22"/>
    <w:rsid w:val="00757836"/>
    <w:rPr>
      <w:rFonts w:ascii="EurostileExtObl-Bold" w:hAnsi="EurostileExtObl-Bold"/>
      <w:sz w:val="24"/>
      <w:szCs w:val="24"/>
    </w:rPr>
  </w:style>
  <w:style w:type="character" w:styleId="Emphasis">
    <w:name w:val="Emphasis"/>
    <w:basedOn w:val="DefaultParagraphFont"/>
    <w:uiPriority w:val="20"/>
    <w:rsid w:val="009569A9"/>
    <w:rPr>
      <w:i/>
      <w:iCs/>
    </w:rPr>
  </w:style>
  <w:style w:type="paragraph" w:styleId="NoSpacing">
    <w:name w:val="No Spacing"/>
    <w:uiPriority w:val="1"/>
    <w:qFormat/>
    <w:rsid w:val="009569A9"/>
    <w:pPr>
      <w:spacing w:after="0" w:line="240" w:lineRule="auto"/>
    </w:pPr>
  </w:style>
  <w:style w:type="paragraph" w:styleId="Quote">
    <w:name w:val="Quote"/>
    <w:basedOn w:val="Normal"/>
    <w:next w:val="Normal"/>
    <w:link w:val="QuoteChar"/>
    <w:uiPriority w:val="29"/>
    <w:rsid w:val="009569A9"/>
    <w:rPr>
      <w:i/>
      <w:iCs/>
      <w:color w:val="000000" w:themeColor="text1"/>
    </w:rPr>
  </w:style>
  <w:style w:type="character" w:customStyle="1" w:styleId="QuoteChar">
    <w:name w:val="Quote Char"/>
    <w:basedOn w:val="DefaultParagraphFont"/>
    <w:link w:val="Quote"/>
    <w:uiPriority w:val="29"/>
    <w:rsid w:val="009569A9"/>
    <w:rPr>
      <w:i/>
      <w:iCs/>
      <w:color w:val="000000" w:themeColor="text1"/>
    </w:rPr>
  </w:style>
  <w:style w:type="paragraph" w:styleId="IntenseQuote">
    <w:name w:val="Intense Quote"/>
    <w:basedOn w:val="Normal"/>
    <w:next w:val="Normal"/>
    <w:link w:val="IntenseQuoteChar"/>
    <w:uiPriority w:val="30"/>
    <w:rsid w:val="009569A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569A9"/>
    <w:rPr>
      <w:b/>
      <w:bCs/>
      <w:i/>
      <w:iCs/>
      <w:color w:val="4F81BD" w:themeColor="accent1"/>
    </w:rPr>
  </w:style>
  <w:style w:type="character" w:styleId="SubtleEmphasis">
    <w:name w:val="Subtle Emphasis"/>
    <w:basedOn w:val="DefaultParagraphFont"/>
    <w:uiPriority w:val="19"/>
    <w:rsid w:val="009569A9"/>
    <w:rPr>
      <w:i/>
      <w:iCs/>
      <w:color w:val="808080" w:themeColor="text1" w:themeTint="7F"/>
    </w:rPr>
  </w:style>
  <w:style w:type="character" w:styleId="IntenseEmphasis">
    <w:name w:val="Intense Emphasis"/>
    <w:basedOn w:val="DefaultParagraphFont"/>
    <w:uiPriority w:val="21"/>
    <w:rsid w:val="009569A9"/>
    <w:rPr>
      <w:b/>
      <w:bCs/>
      <w:i/>
      <w:iCs/>
      <w:color w:val="4F81BD" w:themeColor="accent1"/>
    </w:rPr>
  </w:style>
  <w:style w:type="character" w:styleId="SubtleReference">
    <w:name w:val="Subtle Reference"/>
    <w:basedOn w:val="DefaultParagraphFont"/>
    <w:uiPriority w:val="31"/>
    <w:rsid w:val="009569A9"/>
    <w:rPr>
      <w:smallCaps/>
      <w:color w:val="C0504D" w:themeColor="accent2"/>
      <w:u w:val="single"/>
    </w:rPr>
  </w:style>
  <w:style w:type="character" w:styleId="IntenseReference">
    <w:name w:val="Intense Reference"/>
    <w:basedOn w:val="DefaultParagraphFont"/>
    <w:uiPriority w:val="32"/>
    <w:rsid w:val="009569A9"/>
    <w:rPr>
      <w:b/>
      <w:bCs/>
      <w:smallCaps/>
      <w:color w:val="C0504D" w:themeColor="accent2"/>
      <w:spacing w:val="5"/>
      <w:u w:val="single"/>
    </w:rPr>
  </w:style>
  <w:style w:type="character" w:styleId="BookTitle">
    <w:name w:val="Book Title"/>
    <w:basedOn w:val="DefaultParagraphFont"/>
    <w:uiPriority w:val="33"/>
    <w:rsid w:val="009569A9"/>
    <w:rPr>
      <w:b/>
      <w:bCs/>
      <w:smallCaps/>
      <w:spacing w:val="5"/>
    </w:rPr>
  </w:style>
  <w:style w:type="paragraph" w:styleId="TOCHeading">
    <w:name w:val="TOC Heading"/>
    <w:basedOn w:val="Heading1"/>
    <w:next w:val="Normal"/>
    <w:uiPriority w:val="39"/>
    <w:unhideWhenUsed/>
    <w:qFormat/>
    <w:rsid w:val="009569A9"/>
    <w:pPr>
      <w:outlineLvl w:val="9"/>
    </w:pPr>
  </w:style>
  <w:style w:type="table" w:styleId="TableGrid">
    <w:name w:val="Table Grid"/>
    <w:basedOn w:val="TableNormal"/>
    <w:uiPriority w:val="39"/>
    <w:rsid w:val="007578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2">
    <w:name w:val="List Table 5 Dark Accent 2"/>
    <w:basedOn w:val="TableNormal"/>
    <w:uiPriority w:val="50"/>
    <w:rsid w:val="00A444CC"/>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A444C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B16F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BF"/>
    <w:rPr>
      <w:rFonts w:ascii="Segoe UI" w:hAnsi="Segoe UI" w:cs="Segoe UI"/>
      <w:sz w:val="18"/>
      <w:szCs w:val="18"/>
    </w:rPr>
  </w:style>
  <w:style w:type="paragraph" w:styleId="NormalWeb">
    <w:name w:val="Normal (Web)"/>
    <w:basedOn w:val="Normal"/>
    <w:uiPriority w:val="99"/>
    <w:semiHidden/>
    <w:unhideWhenUsed/>
    <w:rsid w:val="00683F37"/>
    <w:rPr>
      <w:rFonts w:ascii="Times New Roman" w:hAnsi="Times New Roman"/>
      <w:sz w:val="24"/>
      <w:szCs w:val="24"/>
    </w:rPr>
  </w:style>
  <w:style w:type="paragraph" w:styleId="Header">
    <w:name w:val="header"/>
    <w:basedOn w:val="Normal"/>
    <w:link w:val="HeaderChar"/>
    <w:unhideWhenUsed/>
    <w:rsid w:val="00757836"/>
    <w:pPr>
      <w:tabs>
        <w:tab w:val="center" w:pos="4680"/>
        <w:tab w:val="right" w:pos="9360"/>
      </w:tabs>
    </w:pPr>
  </w:style>
  <w:style w:type="character" w:customStyle="1" w:styleId="HeaderChar">
    <w:name w:val="Header Char"/>
    <w:basedOn w:val="DefaultParagraphFont"/>
    <w:link w:val="Header"/>
    <w:rsid w:val="00757836"/>
    <w:rPr>
      <w:rFonts w:ascii="Cambria" w:eastAsia="Calibri" w:hAnsi="Cambria" w:cs="Times New Roman"/>
    </w:rPr>
  </w:style>
  <w:style w:type="paragraph" w:styleId="Footer">
    <w:name w:val="footer"/>
    <w:basedOn w:val="Normal"/>
    <w:link w:val="FooterChar"/>
    <w:uiPriority w:val="99"/>
    <w:unhideWhenUsed/>
    <w:rsid w:val="00757836"/>
    <w:pPr>
      <w:tabs>
        <w:tab w:val="center" w:pos="4680"/>
        <w:tab w:val="right" w:pos="9360"/>
      </w:tabs>
    </w:pPr>
  </w:style>
  <w:style w:type="character" w:customStyle="1" w:styleId="FooterChar">
    <w:name w:val="Footer Char"/>
    <w:basedOn w:val="DefaultParagraphFont"/>
    <w:link w:val="Footer"/>
    <w:uiPriority w:val="99"/>
    <w:rsid w:val="00757836"/>
    <w:rPr>
      <w:rFonts w:ascii="Cambria" w:eastAsia="Calibri" w:hAnsi="Cambria" w:cs="Times New Roman"/>
    </w:rPr>
  </w:style>
  <w:style w:type="paragraph" w:styleId="TOC1">
    <w:name w:val="toc 1"/>
    <w:basedOn w:val="Normal"/>
    <w:next w:val="Normal"/>
    <w:autoRedefine/>
    <w:uiPriority w:val="39"/>
    <w:unhideWhenUsed/>
    <w:rsid w:val="00F53B92"/>
    <w:pPr>
      <w:tabs>
        <w:tab w:val="right" w:leader="dot" w:pos="9350"/>
      </w:tabs>
      <w:spacing w:after="100"/>
      <w:ind w:left="540" w:hanging="270"/>
    </w:pPr>
  </w:style>
  <w:style w:type="paragraph" w:styleId="TOC2">
    <w:name w:val="toc 2"/>
    <w:basedOn w:val="Normal"/>
    <w:next w:val="Normal"/>
    <w:autoRedefine/>
    <w:uiPriority w:val="39"/>
    <w:unhideWhenUsed/>
    <w:rsid w:val="007210B9"/>
    <w:pPr>
      <w:tabs>
        <w:tab w:val="right" w:leader="dot" w:pos="9350"/>
      </w:tabs>
      <w:spacing w:after="100"/>
    </w:pPr>
  </w:style>
  <w:style w:type="character" w:styleId="Hyperlink">
    <w:name w:val="Hyperlink"/>
    <w:basedOn w:val="DefaultParagraphFont"/>
    <w:uiPriority w:val="99"/>
    <w:unhideWhenUsed/>
    <w:rsid w:val="00757836"/>
    <w:rPr>
      <w:color w:val="0000FF"/>
      <w:u w:val="single"/>
    </w:rPr>
  </w:style>
  <w:style w:type="character" w:customStyle="1" w:styleId="BookTitle1">
    <w:name w:val="Book Title1"/>
    <w:aliases w:val="Chapter Watermark"/>
    <w:uiPriority w:val="33"/>
    <w:rsid w:val="008B6262"/>
    <w:rPr>
      <w:rFonts w:ascii="Cambria" w:hAnsi="Cambria"/>
      <w:color w:val="D9D9D9"/>
      <w:sz w:val="120"/>
      <w:szCs w:val="120"/>
    </w:rPr>
  </w:style>
  <w:style w:type="paragraph" w:customStyle="1" w:styleId="bullet">
    <w:name w:val="bullet"/>
    <w:basedOn w:val="Normal"/>
    <w:link w:val="bulletCharChar"/>
    <w:rsid w:val="00757836"/>
    <w:pPr>
      <w:numPr>
        <w:numId w:val="9"/>
      </w:numPr>
      <w:tabs>
        <w:tab w:val="left" w:pos="360"/>
      </w:tabs>
    </w:pPr>
    <w:rPr>
      <w:rFonts w:ascii="Garamond Premr Pro" w:eastAsia="Times New Roman" w:hAnsi="Garamond Premr Pro"/>
    </w:rPr>
  </w:style>
  <w:style w:type="character" w:customStyle="1" w:styleId="bulletCharChar">
    <w:name w:val="bullet Char Char"/>
    <w:basedOn w:val="DefaultParagraphFont"/>
    <w:link w:val="bullet"/>
    <w:rsid w:val="00757836"/>
    <w:rPr>
      <w:rFonts w:ascii="Garamond Premr Pro" w:eastAsia="Times New Roman" w:hAnsi="Garamond Premr Pro" w:cs="Times New Roman"/>
    </w:rPr>
  </w:style>
  <w:style w:type="paragraph" w:customStyle="1" w:styleId="FourthLevelBullet">
    <w:name w:val="Fourth Level Bullet"/>
    <w:basedOn w:val="Normal"/>
    <w:link w:val="FourthLevelBulletChar"/>
    <w:qFormat/>
    <w:rsid w:val="00757836"/>
    <w:pPr>
      <w:numPr>
        <w:ilvl w:val="3"/>
        <w:numId w:val="13"/>
      </w:numPr>
      <w:spacing w:line="240" w:lineRule="auto"/>
    </w:pPr>
  </w:style>
  <w:style w:type="character" w:customStyle="1" w:styleId="FourthLevelBulletChar">
    <w:name w:val="Fourth Level Bullet Char"/>
    <w:basedOn w:val="DefaultParagraphFont"/>
    <w:link w:val="FourthLevelBullet"/>
    <w:rsid w:val="00757836"/>
    <w:rPr>
      <w:rFonts w:ascii="Cambria" w:eastAsia="Calibri" w:hAnsi="Cambria" w:cs="Times New Roman"/>
    </w:rPr>
  </w:style>
  <w:style w:type="paragraph" w:customStyle="1" w:styleId="FristLevelBullet">
    <w:name w:val="Frist Level Bullet"/>
    <w:basedOn w:val="Normal"/>
    <w:link w:val="FristLevelBulletChar"/>
    <w:qFormat/>
    <w:rsid w:val="00757836"/>
    <w:pPr>
      <w:numPr>
        <w:numId w:val="13"/>
      </w:numPr>
      <w:spacing w:line="240" w:lineRule="auto"/>
    </w:pPr>
  </w:style>
  <w:style w:type="character" w:customStyle="1" w:styleId="FristLevelBulletChar">
    <w:name w:val="Frist Level Bullet Char"/>
    <w:basedOn w:val="DefaultParagraphFont"/>
    <w:link w:val="FristLevelBullet"/>
    <w:rsid w:val="00757836"/>
    <w:rPr>
      <w:rFonts w:ascii="Cambria" w:eastAsia="Calibri" w:hAnsi="Cambria" w:cs="Times New Roman"/>
    </w:rPr>
  </w:style>
  <w:style w:type="paragraph" w:customStyle="1" w:styleId="Indented">
    <w:name w:val="Indented"/>
    <w:basedOn w:val="Normal"/>
    <w:rsid w:val="00757836"/>
    <w:pPr>
      <w:ind w:left="720"/>
    </w:pPr>
    <w:rPr>
      <w:rFonts w:ascii="Times New Roman" w:eastAsia="Times New Roman" w:hAnsi="Times New Roman"/>
      <w:sz w:val="24"/>
      <w:szCs w:val="20"/>
    </w:rPr>
  </w:style>
  <w:style w:type="paragraph" w:customStyle="1" w:styleId="nnmainbody">
    <w:name w:val="nnmainbody"/>
    <w:basedOn w:val="Normal"/>
    <w:rsid w:val="00757836"/>
    <w:pPr>
      <w:spacing w:before="120" w:after="160" w:line="240" w:lineRule="auto"/>
      <w:ind w:left="0"/>
    </w:pPr>
    <w:rPr>
      <w:rFonts w:ascii="Arial" w:eastAsia="Times New Roman" w:hAnsi="Arial" w:cs="Arial"/>
    </w:rPr>
  </w:style>
  <w:style w:type="paragraph" w:customStyle="1" w:styleId="ReportFooter">
    <w:name w:val="Report Footer"/>
    <w:basedOn w:val="Footer"/>
    <w:link w:val="ReportFooterChar"/>
    <w:qFormat/>
    <w:rsid w:val="00757836"/>
    <w:pPr>
      <w:ind w:left="450"/>
    </w:pPr>
    <w:rPr>
      <w:b/>
      <w:smallCaps/>
      <w:sz w:val="20"/>
      <w:szCs w:val="20"/>
    </w:rPr>
  </w:style>
  <w:style w:type="character" w:customStyle="1" w:styleId="ReportFooterChar">
    <w:name w:val="Report Footer Char"/>
    <w:basedOn w:val="FooterChar"/>
    <w:link w:val="ReportFooter"/>
    <w:rsid w:val="00757836"/>
    <w:rPr>
      <w:rFonts w:ascii="Cambria" w:eastAsia="Calibri" w:hAnsi="Cambria" w:cs="Times New Roman"/>
      <w:b/>
      <w:smallCaps/>
      <w:sz w:val="20"/>
      <w:szCs w:val="20"/>
    </w:rPr>
  </w:style>
  <w:style w:type="paragraph" w:customStyle="1" w:styleId="RLSSlogan">
    <w:name w:val="RLS Slogan"/>
    <w:basedOn w:val="Normal"/>
    <w:link w:val="RLSSloganChar"/>
    <w:qFormat/>
    <w:rsid w:val="00757836"/>
    <w:pPr>
      <w:ind w:left="3240"/>
    </w:pPr>
    <w:rPr>
      <w:rFonts w:cs="Arial"/>
      <w:b/>
      <w:i/>
      <w:sz w:val="28"/>
      <w:szCs w:val="28"/>
    </w:rPr>
  </w:style>
  <w:style w:type="character" w:customStyle="1" w:styleId="RLSSloganChar">
    <w:name w:val="RLS Slogan Char"/>
    <w:basedOn w:val="DefaultParagraphFont"/>
    <w:link w:val="RLSSlogan"/>
    <w:rsid w:val="00757836"/>
    <w:rPr>
      <w:rFonts w:ascii="Cambria" w:eastAsia="Calibri" w:hAnsi="Cambria" w:cs="Arial"/>
      <w:b/>
      <w:i/>
      <w:sz w:val="28"/>
      <w:szCs w:val="28"/>
    </w:rPr>
  </w:style>
  <w:style w:type="character" w:customStyle="1" w:styleId="RLSTableofContentsHeading">
    <w:name w:val="RLS Table of Contents Heading"/>
    <w:uiPriority w:val="21"/>
    <w:rsid w:val="00757836"/>
    <w:rPr>
      <w:b/>
      <w:sz w:val="28"/>
      <w:szCs w:val="28"/>
    </w:rPr>
  </w:style>
  <w:style w:type="paragraph" w:customStyle="1" w:styleId="SecondLevelBullet">
    <w:name w:val="Second Level Bullet"/>
    <w:basedOn w:val="Normal"/>
    <w:link w:val="SecondLevelBulletChar"/>
    <w:qFormat/>
    <w:rsid w:val="00757836"/>
    <w:pPr>
      <w:numPr>
        <w:ilvl w:val="1"/>
        <w:numId w:val="13"/>
      </w:numPr>
      <w:spacing w:line="240" w:lineRule="auto"/>
    </w:pPr>
  </w:style>
  <w:style w:type="character" w:customStyle="1" w:styleId="SecondLevelBulletChar">
    <w:name w:val="Second Level Bullet Char"/>
    <w:basedOn w:val="DefaultParagraphFont"/>
    <w:link w:val="SecondLevelBullet"/>
    <w:rsid w:val="00757836"/>
    <w:rPr>
      <w:rFonts w:ascii="Cambria" w:eastAsia="Calibri" w:hAnsi="Cambria" w:cs="Times New Roman"/>
    </w:rPr>
  </w:style>
  <w:style w:type="paragraph" w:customStyle="1" w:styleId="ShortReturnAddress">
    <w:name w:val="Short Return Address"/>
    <w:basedOn w:val="Normal"/>
    <w:rsid w:val="00757836"/>
    <w:rPr>
      <w:rFonts w:ascii="Arial" w:eastAsia="Times New Roman" w:hAnsi="Arial"/>
      <w:sz w:val="24"/>
      <w:szCs w:val="20"/>
    </w:rPr>
  </w:style>
  <w:style w:type="paragraph" w:customStyle="1" w:styleId="ThirdLevelBullet">
    <w:name w:val="Third Level Bullet"/>
    <w:basedOn w:val="Normal"/>
    <w:link w:val="ThirdLevelBulletChar"/>
    <w:qFormat/>
    <w:rsid w:val="00757836"/>
    <w:pPr>
      <w:numPr>
        <w:ilvl w:val="2"/>
        <w:numId w:val="13"/>
      </w:numPr>
      <w:spacing w:line="240" w:lineRule="auto"/>
    </w:pPr>
  </w:style>
  <w:style w:type="character" w:customStyle="1" w:styleId="ThirdLevelBulletChar">
    <w:name w:val="Third Level Bullet Char"/>
    <w:basedOn w:val="DefaultParagraphFont"/>
    <w:link w:val="ThirdLevelBullet"/>
    <w:rsid w:val="00757836"/>
    <w:rPr>
      <w:rFonts w:ascii="Cambria" w:eastAsia="Calibri" w:hAnsi="Cambria" w:cs="Times New Roman"/>
    </w:rPr>
  </w:style>
  <w:style w:type="paragraph" w:styleId="TOC3">
    <w:name w:val="toc 3"/>
    <w:basedOn w:val="Normal"/>
    <w:next w:val="Normal"/>
    <w:autoRedefine/>
    <w:uiPriority w:val="39"/>
    <w:unhideWhenUsed/>
    <w:rsid w:val="00311374"/>
    <w:pPr>
      <w:spacing w:after="100"/>
      <w:ind w:left="440"/>
    </w:pPr>
  </w:style>
  <w:style w:type="character" w:styleId="CommentReference">
    <w:name w:val="annotation reference"/>
    <w:basedOn w:val="DefaultParagraphFont"/>
    <w:uiPriority w:val="99"/>
    <w:semiHidden/>
    <w:unhideWhenUsed/>
    <w:rsid w:val="00F27716"/>
    <w:rPr>
      <w:sz w:val="16"/>
      <w:szCs w:val="16"/>
    </w:rPr>
  </w:style>
  <w:style w:type="paragraph" w:styleId="CommentText">
    <w:name w:val="annotation text"/>
    <w:basedOn w:val="Normal"/>
    <w:link w:val="CommentTextChar"/>
    <w:uiPriority w:val="99"/>
    <w:semiHidden/>
    <w:unhideWhenUsed/>
    <w:rsid w:val="00F27716"/>
    <w:pPr>
      <w:widowControl w:val="0"/>
      <w:autoSpaceDE w:val="0"/>
      <w:autoSpaceDN w:val="0"/>
      <w:spacing w:line="240" w:lineRule="auto"/>
      <w:ind w:left="0"/>
    </w:pPr>
    <w:rPr>
      <w:rFonts w:eastAsia="Cambria" w:cs="Cambria"/>
      <w:sz w:val="20"/>
      <w:szCs w:val="20"/>
      <w:lang w:bidi="en-US"/>
    </w:rPr>
  </w:style>
  <w:style w:type="character" w:customStyle="1" w:styleId="CommentTextChar">
    <w:name w:val="Comment Text Char"/>
    <w:basedOn w:val="DefaultParagraphFont"/>
    <w:link w:val="CommentText"/>
    <w:uiPriority w:val="99"/>
    <w:semiHidden/>
    <w:rsid w:val="00F27716"/>
    <w:rPr>
      <w:rFonts w:ascii="Cambria" w:eastAsia="Cambria" w:hAnsi="Cambria" w:cs="Cambria"/>
      <w:sz w:val="20"/>
      <w:szCs w:val="20"/>
      <w:lang w:bidi="en-US"/>
    </w:rPr>
  </w:style>
  <w:style w:type="paragraph" w:styleId="BodyText">
    <w:name w:val="Body Text"/>
    <w:basedOn w:val="Normal"/>
    <w:link w:val="BodyTextChar"/>
    <w:uiPriority w:val="1"/>
    <w:qFormat/>
    <w:rsid w:val="001B2B02"/>
    <w:pPr>
      <w:widowControl w:val="0"/>
      <w:autoSpaceDE w:val="0"/>
      <w:autoSpaceDN w:val="0"/>
      <w:spacing w:line="240" w:lineRule="auto"/>
      <w:ind w:left="0"/>
    </w:pPr>
    <w:rPr>
      <w:rFonts w:eastAsia="Cambria" w:cs="Cambria"/>
      <w:lang w:bidi="en-US"/>
    </w:rPr>
  </w:style>
  <w:style w:type="character" w:customStyle="1" w:styleId="BodyTextChar">
    <w:name w:val="Body Text Char"/>
    <w:basedOn w:val="DefaultParagraphFont"/>
    <w:link w:val="BodyText"/>
    <w:uiPriority w:val="1"/>
    <w:rsid w:val="001B2B02"/>
    <w:rPr>
      <w:rFonts w:ascii="Cambria" w:eastAsia="Cambria" w:hAnsi="Cambria" w:cs="Cambria"/>
      <w:lang w:bidi="en-US"/>
    </w:rPr>
  </w:style>
  <w:style w:type="paragraph" w:customStyle="1" w:styleId="TableParagraph">
    <w:name w:val="Table Paragraph"/>
    <w:basedOn w:val="Normal"/>
    <w:uiPriority w:val="1"/>
    <w:qFormat/>
    <w:rsid w:val="0085500E"/>
    <w:pPr>
      <w:widowControl w:val="0"/>
      <w:autoSpaceDE w:val="0"/>
      <w:autoSpaceDN w:val="0"/>
      <w:spacing w:line="240" w:lineRule="auto"/>
      <w:ind w:left="0"/>
    </w:pPr>
    <w:rPr>
      <w:rFonts w:eastAsia="Cambria" w:cs="Cambria"/>
      <w:lang w:bidi="en-US"/>
    </w:rPr>
  </w:style>
  <w:style w:type="table" w:customStyle="1" w:styleId="TableGrid1">
    <w:name w:val="Table Grid1"/>
    <w:basedOn w:val="TableNormal"/>
    <w:next w:val="TableGrid"/>
    <w:uiPriority w:val="39"/>
    <w:rsid w:val="007403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C429A"/>
    <w:pPr>
      <w:widowControl/>
      <w:autoSpaceDE/>
      <w:autoSpaceDN/>
      <w:ind w:left="270"/>
    </w:pPr>
    <w:rPr>
      <w:rFonts w:eastAsia="Calibri" w:cs="Times New Roman"/>
      <w:b/>
      <w:bCs/>
      <w:lang w:bidi="ar-SA"/>
    </w:rPr>
  </w:style>
  <w:style w:type="character" w:customStyle="1" w:styleId="CommentSubjectChar">
    <w:name w:val="Comment Subject Char"/>
    <w:basedOn w:val="CommentTextChar"/>
    <w:link w:val="CommentSubject"/>
    <w:uiPriority w:val="99"/>
    <w:semiHidden/>
    <w:rsid w:val="002C429A"/>
    <w:rPr>
      <w:rFonts w:ascii="Cambria" w:eastAsia="Calibri" w:hAnsi="Cambria"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168">
      <w:bodyDiv w:val="1"/>
      <w:marLeft w:val="0"/>
      <w:marRight w:val="0"/>
      <w:marTop w:val="0"/>
      <w:marBottom w:val="0"/>
      <w:divBdr>
        <w:top w:val="none" w:sz="0" w:space="0" w:color="auto"/>
        <w:left w:val="none" w:sz="0" w:space="0" w:color="auto"/>
        <w:bottom w:val="none" w:sz="0" w:space="0" w:color="auto"/>
        <w:right w:val="none" w:sz="0" w:space="0" w:color="auto"/>
      </w:divBdr>
    </w:div>
    <w:div w:id="45956321">
      <w:bodyDiv w:val="1"/>
      <w:marLeft w:val="0"/>
      <w:marRight w:val="0"/>
      <w:marTop w:val="0"/>
      <w:marBottom w:val="0"/>
      <w:divBdr>
        <w:top w:val="none" w:sz="0" w:space="0" w:color="auto"/>
        <w:left w:val="none" w:sz="0" w:space="0" w:color="auto"/>
        <w:bottom w:val="none" w:sz="0" w:space="0" w:color="auto"/>
        <w:right w:val="none" w:sz="0" w:space="0" w:color="auto"/>
      </w:divBdr>
    </w:div>
    <w:div w:id="91437236">
      <w:bodyDiv w:val="1"/>
      <w:marLeft w:val="0"/>
      <w:marRight w:val="0"/>
      <w:marTop w:val="0"/>
      <w:marBottom w:val="0"/>
      <w:divBdr>
        <w:top w:val="none" w:sz="0" w:space="0" w:color="auto"/>
        <w:left w:val="none" w:sz="0" w:space="0" w:color="auto"/>
        <w:bottom w:val="none" w:sz="0" w:space="0" w:color="auto"/>
        <w:right w:val="none" w:sz="0" w:space="0" w:color="auto"/>
      </w:divBdr>
    </w:div>
    <w:div w:id="117914953">
      <w:bodyDiv w:val="1"/>
      <w:marLeft w:val="0"/>
      <w:marRight w:val="0"/>
      <w:marTop w:val="0"/>
      <w:marBottom w:val="0"/>
      <w:divBdr>
        <w:top w:val="none" w:sz="0" w:space="0" w:color="auto"/>
        <w:left w:val="none" w:sz="0" w:space="0" w:color="auto"/>
        <w:bottom w:val="none" w:sz="0" w:space="0" w:color="auto"/>
        <w:right w:val="none" w:sz="0" w:space="0" w:color="auto"/>
      </w:divBdr>
    </w:div>
    <w:div w:id="210307283">
      <w:bodyDiv w:val="1"/>
      <w:marLeft w:val="0"/>
      <w:marRight w:val="0"/>
      <w:marTop w:val="0"/>
      <w:marBottom w:val="0"/>
      <w:divBdr>
        <w:top w:val="none" w:sz="0" w:space="0" w:color="auto"/>
        <w:left w:val="none" w:sz="0" w:space="0" w:color="auto"/>
        <w:bottom w:val="none" w:sz="0" w:space="0" w:color="auto"/>
        <w:right w:val="none" w:sz="0" w:space="0" w:color="auto"/>
      </w:divBdr>
    </w:div>
    <w:div w:id="288777721">
      <w:bodyDiv w:val="1"/>
      <w:marLeft w:val="0"/>
      <w:marRight w:val="0"/>
      <w:marTop w:val="0"/>
      <w:marBottom w:val="0"/>
      <w:divBdr>
        <w:top w:val="none" w:sz="0" w:space="0" w:color="auto"/>
        <w:left w:val="none" w:sz="0" w:space="0" w:color="auto"/>
        <w:bottom w:val="none" w:sz="0" w:space="0" w:color="auto"/>
        <w:right w:val="none" w:sz="0" w:space="0" w:color="auto"/>
      </w:divBdr>
    </w:div>
    <w:div w:id="314993897">
      <w:bodyDiv w:val="1"/>
      <w:marLeft w:val="0"/>
      <w:marRight w:val="0"/>
      <w:marTop w:val="0"/>
      <w:marBottom w:val="0"/>
      <w:divBdr>
        <w:top w:val="none" w:sz="0" w:space="0" w:color="auto"/>
        <w:left w:val="none" w:sz="0" w:space="0" w:color="auto"/>
        <w:bottom w:val="none" w:sz="0" w:space="0" w:color="auto"/>
        <w:right w:val="none" w:sz="0" w:space="0" w:color="auto"/>
      </w:divBdr>
    </w:div>
    <w:div w:id="365103433">
      <w:bodyDiv w:val="1"/>
      <w:marLeft w:val="0"/>
      <w:marRight w:val="0"/>
      <w:marTop w:val="0"/>
      <w:marBottom w:val="0"/>
      <w:divBdr>
        <w:top w:val="none" w:sz="0" w:space="0" w:color="auto"/>
        <w:left w:val="none" w:sz="0" w:space="0" w:color="auto"/>
        <w:bottom w:val="none" w:sz="0" w:space="0" w:color="auto"/>
        <w:right w:val="none" w:sz="0" w:space="0" w:color="auto"/>
      </w:divBdr>
    </w:div>
    <w:div w:id="392119472">
      <w:bodyDiv w:val="1"/>
      <w:marLeft w:val="0"/>
      <w:marRight w:val="0"/>
      <w:marTop w:val="0"/>
      <w:marBottom w:val="0"/>
      <w:divBdr>
        <w:top w:val="none" w:sz="0" w:space="0" w:color="auto"/>
        <w:left w:val="none" w:sz="0" w:space="0" w:color="auto"/>
        <w:bottom w:val="none" w:sz="0" w:space="0" w:color="auto"/>
        <w:right w:val="none" w:sz="0" w:space="0" w:color="auto"/>
      </w:divBdr>
    </w:div>
    <w:div w:id="504983399">
      <w:bodyDiv w:val="1"/>
      <w:marLeft w:val="0"/>
      <w:marRight w:val="0"/>
      <w:marTop w:val="0"/>
      <w:marBottom w:val="0"/>
      <w:divBdr>
        <w:top w:val="none" w:sz="0" w:space="0" w:color="auto"/>
        <w:left w:val="none" w:sz="0" w:space="0" w:color="auto"/>
        <w:bottom w:val="none" w:sz="0" w:space="0" w:color="auto"/>
        <w:right w:val="none" w:sz="0" w:space="0" w:color="auto"/>
      </w:divBdr>
    </w:div>
    <w:div w:id="585001259">
      <w:bodyDiv w:val="1"/>
      <w:marLeft w:val="0"/>
      <w:marRight w:val="0"/>
      <w:marTop w:val="0"/>
      <w:marBottom w:val="0"/>
      <w:divBdr>
        <w:top w:val="none" w:sz="0" w:space="0" w:color="auto"/>
        <w:left w:val="none" w:sz="0" w:space="0" w:color="auto"/>
        <w:bottom w:val="none" w:sz="0" w:space="0" w:color="auto"/>
        <w:right w:val="none" w:sz="0" w:space="0" w:color="auto"/>
      </w:divBdr>
    </w:div>
    <w:div w:id="590046046">
      <w:bodyDiv w:val="1"/>
      <w:marLeft w:val="0"/>
      <w:marRight w:val="0"/>
      <w:marTop w:val="0"/>
      <w:marBottom w:val="0"/>
      <w:divBdr>
        <w:top w:val="none" w:sz="0" w:space="0" w:color="auto"/>
        <w:left w:val="none" w:sz="0" w:space="0" w:color="auto"/>
        <w:bottom w:val="none" w:sz="0" w:space="0" w:color="auto"/>
        <w:right w:val="none" w:sz="0" w:space="0" w:color="auto"/>
      </w:divBdr>
    </w:div>
    <w:div w:id="758797184">
      <w:bodyDiv w:val="1"/>
      <w:marLeft w:val="0"/>
      <w:marRight w:val="0"/>
      <w:marTop w:val="0"/>
      <w:marBottom w:val="0"/>
      <w:divBdr>
        <w:top w:val="none" w:sz="0" w:space="0" w:color="auto"/>
        <w:left w:val="none" w:sz="0" w:space="0" w:color="auto"/>
        <w:bottom w:val="none" w:sz="0" w:space="0" w:color="auto"/>
        <w:right w:val="none" w:sz="0" w:space="0" w:color="auto"/>
      </w:divBdr>
    </w:div>
    <w:div w:id="777410281">
      <w:bodyDiv w:val="1"/>
      <w:marLeft w:val="0"/>
      <w:marRight w:val="0"/>
      <w:marTop w:val="0"/>
      <w:marBottom w:val="0"/>
      <w:divBdr>
        <w:top w:val="none" w:sz="0" w:space="0" w:color="auto"/>
        <w:left w:val="none" w:sz="0" w:space="0" w:color="auto"/>
        <w:bottom w:val="none" w:sz="0" w:space="0" w:color="auto"/>
        <w:right w:val="none" w:sz="0" w:space="0" w:color="auto"/>
      </w:divBdr>
    </w:div>
    <w:div w:id="790824387">
      <w:bodyDiv w:val="1"/>
      <w:marLeft w:val="0"/>
      <w:marRight w:val="0"/>
      <w:marTop w:val="0"/>
      <w:marBottom w:val="0"/>
      <w:divBdr>
        <w:top w:val="none" w:sz="0" w:space="0" w:color="auto"/>
        <w:left w:val="none" w:sz="0" w:space="0" w:color="auto"/>
        <w:bottom w:val="none" w:sz="0" w:space="0" w:color="auto"/>
        <w:right w:val="none" w:sz="0" w:space="0" w:color="auto"/>
      </w:divBdr>
    </w:div>
    <w:div w:id="795559862">
      <w:bodyDiv w:val="1"/>
      <w:marLeft w:val="0"/>
      <w:marRight w:val="0"/>
      <w:marTop w:val="0"/>
      <w:marBottom w:val="0"/>
      <w:divBdr>
        <w:top w:val="none" w:sz="0" w:space="0" w:color="auto"/>
        <w:left w:val="none" w:sz="0" w:space="0" w:color="auto"/>
        <w:bottom w:val="none" w:sz="0" w:space="0" w:color="auto"/>
        <w:right w:val="none" w:sz="0" w:space="0" w:color="auto"/>
      </w:divBdr>
    </w:div>
    <w:div w:id="817653115">
      <w:bodyDiv w:val="1"/>
      <w:marLeft w:val="0"/>
      <w:marRight w:val="0"/>
      <w:marTop w:val="0"/>
      <w:marBottom w:val="0"/>
      <w:divBdr>
        <w:top w:val="none" w:sz="0" w:space="0" w:color="auto"/>
        <w:left w:val="none" w:sz="0" w:space="0" w:color="auto"/>
        <w:bottom w:val="none" w:sz="0" w:space="0" w:color="auto"/>
        <w:right w:val="none" w:sz="0" w:space="0" w:color="auto"/>
      </w:divBdr>
    </w:div>
    <w:div w:id="916859471">
      <w:bodyDiv w:val="1"/>
      <w:marLeft w:val="0"/>
      <w:marRight w:val="0"/>
      <w:marTop w:val="0"/>
      <w:marBottom w:val="0"/>
      <w:divBdr>
        <w:top w:val="none" w:sz="0" w:space="0" w:color="auto"/>
        <w:left w:val="none" w:sz="0" w:space="0" w:color="auto"/>
        <w:bottom w:val="none" w:sz="0" w:space="0" w:color="auto"/>
        <w:right w:val="none" w:sz="0" w:space="0" w:color="auto"/>
      </w:divBdr>
    </w:div>
    <w:div w:id="977803584">
      <w:bodyDiv w:val="1"/>
      <w:marLeft w:val="0"/>
      <w:marRight w:val="0"/>
      <w:marTop w:val="0"/>
      <w:marBottom w:val="0"/>
      <w:divBdr>
        <w:top w:val="none" w:sz="0" w:space="0" w:color="auto"/>
        <w:left w:val="none" w:sz="0" w:space="0" w:color="auto"/>
        <w:bottom w:val="none" w:sz="0" w:space="0" w:color="auto"/>
        <w:right w:val="none" w:sz="0" w:space="0" w:color="auto"/>
      </w:divBdr>
    </w:div>
    <w:div w:id="1180434811">
      <w:bodyDiv w:val="1"/>
      <w:marLeft w:val="0"/>
      <w:marRight w:val="0"/>
      <w:marTop w:val="0"/>
      <w:marBottom w:val="0"/>
      <w:divBdr>
        <w:top w:val="none" w:sz="0" w:space="0" w:color="auto"/>
        <w:left w:val="none" w:sz="0" w:space="0" w:color="auto"/>
        <w:bottom w:val="none" w:sz="0" w:space="0" w:color="auto"/>
        <w:right w:val="none" w:sz="0" w:space="0" w:color="auto"/>
      </w:divBdr>
    </w:div>
    <w:div w:id="1181161821">
      <w:bodyDiv w:val="1"/>
      <w:marLeft w:val="0"/>
      <w:marRight w:val="0"/>
      <w:marTop w:val="0"/>
      <w:marBottom w:val="0"/>
      <w:divBdr>
        <w:top w:val="none" w:sz="0" w:space="0" w:color="auto"/>
        <w:left w:val="none" w:sz="0" w:space="0" w:color="auto"/>
        <w:bottom w:val="none" w:sz="0" w:space="0" w:color="auto"/>
        <w:right w:val="none" w:sz="0" w:space="0" w:color="auto"/>
      </w:divBdr>
    </w:div>
    <w:div w:id="1299534574">
      <w:bodyDiv w:val="1"/>
      <w:marLeft w:val="0"/>
      <w:marRight w:val="0"/>
      <w:marTop w:val="0"/>
      <w:marBottom w:val="0"/>
      <w:divBdr>
        <w:top w:val="none" w:sz="0" w:space="0" w:color="auto"/>
        <w:left w:val="none" w:sz="0" w:space="0" w:color="auto"/>
        <w:bottom w:val="none" w:sz="0" w:space="0" w:color="auto"/>
        <w:right w:val="none" w:sz="0" w:space="0" w:color="auto"/>
      </w:divBdr>
    </w:div>
    <w:div w:id="1326518496">
      <w:bodyDiv w:val="1"/>
      <w:marLeft w:val="0"/>
      <w:marRight w:val="0"/>
      <w:marTop w:val="0"/>
      <w:marBottom w:val="0"/>
      <w:divBdr>
        <w:top w:val="none" w:sz="0" w:space="0" w:color="auto"/>
        <w:left w:val="none" w:sz="0" w:space="0" w:color="auto"/>
        <w:bottom w:val="none" w:sz="0" w:space="0" w:color="auto"/>
        <w:right w:val="none" w:sz="0" w:space="0" w:color="auto"/>
      </w:divBdr>
    </w:div>
    <w:div w:id="1346247150">
      <w:bodyDiv w:val="1"/>
      <w:marLeft w:val="0"/>
      <w:marRight w:val="0"/>
      <w:marTop w:val="0"/>
      <w:marBottom w:val="0"/>
      <w:divBdr>
        <w:top w:val="none" w:sz="0" w:space="0" w:color="auto"/>
        <w:left w:val="none" w:sz="0" w:space="0" w:color="auto"/>
        <w:bottom w:val="none" w:sz="0" w:space="0" w:color="auto"/>
        <w:right w:val="none" w:sz="0" w:space="0" w:color="auto"/>
      </w:divBdr>
    </w:div>
    <w:div w:id="1371882271">
      <w:bodyDiv w:val="1"/>
      <w:marLeft w:val="0"/>
      <w:marRight w:val="0"/>
      <w:marTop w:val="0"/>
      <w:marBottom w:val="0"/>
      <w:divBdr>
        <w:top w:val="none" w:sz="0" w:space="0" w:color="auto"/>
        <w:left w:val="none" w:sz="0" w:space="0" w:color="auto"/>
        <w:bottom w:val="none" w:sz="0" w:space="0" w:color="auto"/>
        <w:right w:val="none" w:sz="0" w:space="0" w:color="auto"/>
      </w:divBdr>
    </w:div>
    <w:div w:id="1382023449">
      <w:bodyDiv w:val="1"/>
      <w:marLeft w:val="0"/>
      <w:marRight w:val="0"/>
      <w:marTop w:val="0"/>
      <w:marBottom w:val="0"/>
      <w:divBdr>
        <w:top w:val="none" w:sz="0" w:space="0" w:color="auto"/>
        <w:left w:val="none" w:sz="0" w:space="0" w:color="auto"/>
        <w:bottom w:val="none" w:sz="0" w:space="0" w:color="auto"/>
        <w:right w:val="none" w:sz="0" w:space="0" w:color="auto"/>
      </w:divBdr>
    </w:div>
    <w:div w:id="1388065696">
      <w:bodyDiv w:val="1"/>
      <w:marLeft w:val="0"/>
      <w:marRight w:val="0"/>
      <w:marTop w:val="0"/>
      <w:marBottom w:val="0"/>
      <w:divBdr>
        <w:top w:val="none" w:sz="0" w:space="0" w:color="auto"/>
        <w:left w:val="none" w:sz="0" w:space="0" w:color="auto"/>
        <w:bottom w:val="none" w:sz="0" w:space="0" w:color="auto"/>
        <w:right w:val="none" w:sz="0" w:space="0" w:color="auto"/>
      </w:divBdr>
    </w:div>
    <w:div w:id="1410465916">
      <w:bodyDiv w:val="1"/>
      <w:marLeft w:val="0"/>
      <w:marRight w:val="0"/>
      <w:marTop w:val="0"/>
      <w:marBottom w:val="0"/>
      <w:divBdr>
        <w:top w:val="none" w:sz="0" w:space="0" w:color="auto"/>
        <w:left w:val="none" w:sz="0" w:space="0" w:color="auto"/>
        <w:bottom w:val="none" w:sz="0" w:space="0" w:color="auto"/>
        <w:right w:val="none" w:sz="0" w:space="0" w:color="auto"/>
      </w:divBdr>
    </w:div>
    <w:div w:id="1412891187">
      <w:bodyDiv w:val="1"/>
      <w:marLeft w:val="0"/>
      <w:marRight w:val="0"/>
      <w:marTop w:val="0"/>
      <w:marBottom w:val="0"/>
      <w:divBdr>
        <w:top w:val="none" w:sz="0" w:space="0" w:color="auto"/>
        <w:left w:val="none" w:sz="0" w:space="0" w:color="auto"/>
        <w:bottom w:val="none" w:sz="0" w:space="0" w:color="auto"/>
        <w:right w:val="none" w:sz="0" w:space="0" w:color="auto"/>
      </w:divBdr>
    </w:div>
    <w:div w:id="1453282349">
      <w:bodyDiv w:val="1"/>
      <w:marLeft w:val="0"/>
      <w:marRight w:val="0"/>
      <w:marTop w:val="0"/>
      <w:marBottom w:val="0"/>
      <w:divBdr>
        <w:top w:val="none" w:sz="0" w:space="0" w:color="auto"/>
        <w:left w:val="none" w:sz="0" w:space="0" w:color="auto"/>
        <w:bottom w:val="none" w:sz="0" w:space="0" w:color="auto"/>
        <w:right w:val="none" w:sz="0" w:space="0" w:color="auto"/>
      </w:divBdr>
    </w:div>
    <w:div w:id="1475827660">
      <w:bodyDiv w:val="1"/>
      <w:marLeft w:val="0"/>
      <w:marRight w:val="0"/>
      <w:marTop w:val="0"/>
      <w:marBottom w:val="0"/>
      <w:divBdr>
        <w:top w:val="none" w:sz="0" w:space="0" w:color="auto"/>
        <w:left w:val="none" w:sz="0" w:space="0" w:color="auto"/>
        <w:bottom w:val="none" w:sz="0" w:space="0" w:color="auto"/>
        <w:right w:val="none" w:sz="0" w:space="0" w:color="auto"/>
      </w:divBdr>
    </w:div>
    <w:div w:id="1476411955">
      <w:bodyDiv w:val="1"/>
      <w:marLeft w:val="0"/>
      <w:marRight w:val="0"/>
      <w:marTop w:val="0"/>
      <w:marBottom w:val="0"/>
      <w:divBdr>
        <w:top w:val="none" w:sz="0" w:space="0" w:color="auto"/>
        <w:left w:val="none" w:sz="0" w:space="0" w:color="auto"/>
        <w:bottom w:val="none" w:sz="0" w:space="0" w:color="auto"/>
        <w:right w:val="none" w:sz="0" w:space="0" w:color="auto"/>
      </w:divBdr>
    </w:div>
    <w:div w:id="1484589976">
      <w:bodyDiv w:val="1"/>
      <w:marLeft w:val="0"/>
      <w:marRight w:val="0"/>
      <w:marTop w:val="0"/>
      <w:marBottom w:val="0"/>
      <w:divBdr>
        <w:top w:val="none" w:sz="0" w:space="0" w:color="auto"/>
        <w:left w:val="none" w:sz="0" w:space="0" w:color="auto"/>
        <w:bottom w:val="none" w:sz="0" w:space="0" w:color="auto"/>
        <w:right w:val="none" w:sz="0" w:space="0" w:color="auto"/>
      </w:divBdr>
    </w:div>
    <w:div w:id="1497301224">
      <w:bodyDiv w:val="1"/>
      <w:marLeft w:val="0"/>
      <w:marRight w:val="0"/>
      <w:marTop w:val="0"/>
      <w:marBottom w:val="0"/>
      <w:divBdr>
        <w:top w:val="none" w:sz="0" w:space="0" w:color="auto"/>
        <w:left w:val="none" w:sz="0" w:space="0" w:color="auto"/>
        <w:bottom w:val="none" w:sz="0" w:space="0" w:color="auto"/>
        <w:right w:val="none" w:sz="0" w:space="0" w:color="auto"/>
      </w:divBdr>
    </w:div>
    <w:div w:id="1513378360">
      <w:bodyDiv w:val="1"/>
      <w:marLeft w:val="0"/>
      <w:marRight w:val="0"/>
      <w:marTop w:val="0"/>
      <w:marBottom w:val="0"/>
      <w:divBdr>
        <w:top w:val="none" w:sz="0" w:space="0" w:color="auto"/>
        <w:left w:val="none" w:sz="0" w:space="0" w:color="auto"/>
        <w:bottom w:val="none" w:sz="0" w:space="0" w:color="auto"/>
        <w:right w:val="none" w:sz="0" w:space="0" w:color="auto"/>
      </w:divBdr>
    </w:div>
    <w:div w:id="1539703683">
      <w:bodyDiv w:val="1"/>
      <w:marLeft w:val="0"/>
      <w:marRight w:val="0"/>
      <w:marTop w:val="0"/>
      <w:marBottom w:val="0"/>
      <w:divBdr>
        <w:top w:val="none" w:sz="0" w:space="0" w:color="auto"/>
        <w:left w:val="none" w:sz="0" w:space="0" w:color="auto"/>
        <w:bottom w:val="none" w:sz="0" w:space="0" w:color="auto"/>
        <w:right w:val="none" w:sz="0" w:space="0" w:color="auto"/>
      </w:divBdr>
    </w:div>
    <w:div w:id="1550725728">
      <w:bodyDiv w:val="1"/>
      <w:marLeft w:val="0"/>
      <w:marRight w:val="0"/>
      <w:marTop w:val="0"/>
      <w:marBottom w:val="0"/>
      <w:divBdr>
        <w:top w:val="none" w:sz="0" w:space="0" w:color="auto"/>
        <w:left w:val="none" w:sz="0" w:space="0" w:color="auto"/>
        <w:bottom w:val="none" w:sz="0" w:space="0" w:color="auto"/>
        <w:right w:val="none" w:sz="0" w:space="0" w:color="auto"/>
      </w:divBdr>
    </w:div>
    <w:div w:id="1554384147">
      <w:bodyDiv w:val="1"/>
      <w:marLeft w:val="0"/>
      <w:marRight w:val="0"/>
      <w:marTop w:val="0"/>
      <w:marBottom w:val="0"/>
      <w:divBdr>
        <w:top w:val="none" w:sz="0" w:space="0" w:color="auto"/>
        <w:left w:val="none" w:sz="0" w:space="0" w:color="auto"/>
        <w:bottom w:val="none" w:sz="0" w:space="0" w:color="auto"/>
        <w:right w:val="none" w:sz="0" w:space="0" w:color="auto"/>
      </w:divBdr>
    </w:div>
    <w:div w:id="1556627860">
      <w:bodyDiv w:val="1"/>
      <w:marLeft w:val="0"/>
      <w:marRight w:val="0"/>
      <w:marTop w:val="0"/>
      <w:marBottom w:val="0"/>
      <w:divBdr>
        <w:top w:val="none" w:sz="0" w:space="0" w:color="auto"/>
        <w:left w:val="none" w:sz="0" w:space="0" w:color="auto"/>
        <w:bottom w:val="none" w:sz="0" w:space="0" w:color="auto"/>
        <w:right w:val="none" w:sz="0" w:space="0" w:color="auto"/>
      </w:divBdr>
    </w:div>
    <w:div w:id="1598055296">
      <w:bodyDiv w:val="1"/>
      <w:marLeft w:val="0"/>
      <w:marRight w:val="0"/>
      <w:marTop w:val="0"/>
      <w:marBottom w:val="0"/>
      <w:divBdr>
        <w:top w:val="none" w:sz="0" w:space="0" w:color="auto"/>
        <w:left w:val="none" w:sz="0" w:space="0" w:color="auto"/>
        <w:bottom w:val="none" w:sz="0" w:space="0" w:color="auto"/>
        <w:right w:val="none" w:sz="0" w:space="0" w:color="auto"/>
      </w:divBdr>
    </w:div>
    <w:div w:id="1616982830">
      <w:bodyDiv w:val="1"/>
      <w:marLeft w:val="0"/>
      <w:marRight w:val="0"/>
      <w:marTop w:val="0"/>
      <w:marBottom w:val="0"/>
      <w:divBdr>
        <w:top w:val="none" w:sz="0" w:space="0" w:color="auto"/>
        <w:left w:val="none" w:sz="0" w:space="0" w:color="auto"/>
        <w:bottom w:val="none" w:sz="0" w:space="0" w:color="auto"/>
        <w:right w:val="none" w:sz="0" w:space="0" w:color="auto"/>
      </w:divBdr>
    </w:div>
    <w:div w:id="1622761763">
      <w:bodyDiv w:val="1"/>
      <w:marLeft w:val="0"/>
      <w:marRight w:val="0"/>
      <w:marTop w:val="0"/>
      <w:marBottom w:val="0"/>
      <w:divBdr>
        <w:top w:val="none" w:sz="0" w:space="0" w:color="auto"/>
        <w:left w:val="none" w:sz="0" w:space="0" w:color="auto"/>
        <w:bottom w:val="none" w:sz="0" w:space="0" w:color="auto"/>
        <w:right w:val="none" w:sz="0" w:space="0" w:color="auto"/>
      </w:divBdr>
    </w:div>
    <w:div w:id="1652901514">
      <w:bodyDiv w:val="1"/>
      <w:marLeft w:val="0"/>
      <w:marRight w:val="0"/>
      <w:marTop w:val="0"/>
      <w:marBottom w:val="0"/>
      <w:divBdr>
        <w:top w:val="none" w:sz="0" w:space="0" w:color="auto"/>
        <w:left w:val="none" w:sz="0" w:space="0" w:color="auto"/>
        <w:bottom w:val="none" w:sz="0" w:space="0" w:color="auto"/>
        <w:right w:val="none" w:sz="0" w:space="0" w:color="auto"/>
      </w:divBdr>
    </w:div>
    <w:div w:id="1754888440">
      <w:bodyDiv w:val="1"/>
      <w:marLeft w:val="0"/>
      <w:marRight w:val="0"/>
      <w:marTop w:val="0"/>
      <w:marBottom w:val="0"/>
      <w:divBdr>
        <w:top w:val="none" w:sz="0" w:space="0" w:color="auto"/>
        <w:left w:val="none" w:sz="0" w:space="0" w:color="auto"/>
        <w:bottom w:val="none" w:sz="0" w:space="0" w:color="auto"/>
        <w:right w:val="none" w:sz="0" w:space="0" w:color="auto"/>
      </w:divBdr>
    </w:div>
    <w:div w:id="1821264483">
      <w:bodyDiv w:val="1"/>
      <w:marLeft w:val="0"/>
      <w:marRight w:val="0"/>
      <w:marTop w:val="0"/>
      <w:marBottom w:val="0"/>
      <w:divBdr>
        <w:top w:val="none" w:sz="0" w:space="0" w:color="auto"/>
        <w:left w:val="none" w:sz="0" w:space="0" w:color="auto"/>
        <w:bottom w:val="none" w:sz="0" w:space="0" w:color="auto"/>
        <w:right w:val="none" w:sz="0" w:space="0" w:color="auto"/>
      </w:divBdr>
    </w:div>
    <w:div w:id="1843929479">
      <w:bodyDiv w:val="1"/>
      <w:marLeft w:val="0"/>
      <w:marRight w:val="0"/>
      <w:marTop w:val="0"/>
      <w:marBottom w:val="0"/>
      <w:divBdr>
        <w:top w:val="none" w:sz="0" w:space="0" w:color="auto"/>
        <w:left w:val="none" w:sz="0" w:space="0" w:color="auto"/>
        <w:bottom w:val="none" w:sz="0" w:space="0" w:color="auto"/>
        <w:right w:val="none" w:sz="0" w:space="0" w:color="auto"/>
      </w:divBdr>
    </w:div>
    <w:div w:id="1877426383">
      <w:bodyDiv w:val="1"/>
      <w:marLeft w:val="0"/>
      <w:marRight w:val="0"/>
      <w:marTop w:val="0"/>
      <w:marBottom w:val="0"/>
      <w:divBdr>
        <w:top w:val="none" w:sz="0" w:space="0" w:color="auto"/>
        <w:left w:val="none" w:sz="0" w:space="0" w:color="auto"/>
        <w:bottom w:val="none" w:sz="0" w:space="0" w:color="auto"/>
        <w:right w:val="none" w:sz="0" w:space="0" w:color="auto"/>
      </w:divBdr>
    </w:div>
    <w:div w:id="1891837795">
      <w:bodyDiv w:val="1"/>
      <w:marLeft w:val="0"/>
      <w:marRight w:val="0"/>
      <w:marTop w:val="0"/>
      <w:marBottom w:val="0"/>
      <w:divBdr>
        <w:top w:val="none" w:sz="0" w:space="0" w:color="auto"/>
        <w:left w:val="none" w:sz="0" w:space="0" w:color="auto"/>
        <w:bottom w:val="none" w:sz="0" w:space="0" w:color="auto"/>
        <w:right w:val="none" w:sz="0" w:space="0" w:color="auto"/>
      </w:divBdr>
    </w:div>
    <w:div w:id="1917782385">
      <w:bodyDiv w:val="1"/>
      <w:marLeft w:val="0"/>
      <w:marRight w:val="0"/>
      <w:marTop w:val="0"/>
      <w:marBottom w:val="0"/>
      <w:divBdr>
        <w:top w:val="none" w:sz="0" w:space="0" w:color="auto"/>
        <w:left w:val="none" w:sz="0" w:space="0" w:color="auto"/>
        <w:bottom w:val="none" w:sz="0" w:space="0" w:color="auto"/>
        <w:right w:val="none" w:sz="0" w:space="0" w:color="auto"/>
      </w:divBdr>
    </w:div>
    <w:div w:id="1919053862">
      <w:bodyDiv w:val="1"/>
      <w:marLeft w:val="0"/>
      <w:marRight w:val="0"/>
      <w:marTop w:val="0"/>
      <w:marBottom w:val="0"/>
      <w:divBdr>
        <w:top w:val="none" w:sz="0" w:space="0" w:color="auto"/>
        <w:left w:val="none" w:sz="0" w:space="0" w:color="auto"/>
        <w:bottom w:val="none" w:sz="0" w:space="0" w:color="auto"/>
        <w:right w:val="none" w:sz="0" w:space="0" w:color="auto"/>
      </w:divBdr>
    </w:div>
    <w:div w:id="1923100612">
      <w:bodyDiv w:val="1"/>
      <w:marLeft w:val="0"/>
      <w:marRight w:val="0"/>
      <w:marTop w:val="0"/>
      <w:marBottom w:val="0"/>
      <w:divBdr>
        <w:top w:val="none" w:sz="0" w:space="0" w:color="auto"/>
        <w:left w:val="none" w:sz="0" w:space="0" w:color="auto"/>
        <w:bottom w:val="none" w:sz="0" w:space="0" w:color="auto"/>
        <w:right w:val="none" w:sz="0" w:space="0" w:color="auto"/>
      </w:divBdr>
    </w:div>
    <w:div w:id="1953315087">
      <w:bodyDiv w:val="1"/>
      <w:marLeft w:val="0"/>
      <w:marRight w:val="0"/>
      <w:marTop w:val="0"/>
      <w:marBottom w:val="0"/>
      <w:divBdr>
        <w:top w:val="none" w:sz="0" w:space="0" w:color="auto"/>
        <w:left w:val="none" w:sz="0" w:space="0" w:color="auto"/>
        <w:bottom w:val="none" w:sz="0" w:space="0" w:color="auto"/>
        <w:right w:val="none" w:sz="0" w:space="0" w:color="auto"/>
      </w:divBdr>
    </w:div>
    <w:div w:id="1998341704">
      <w:bodyDiv w:val="1"/>
      <w:marLeft w:val="0"/>
      <w:marRight w:val="0"/>
      <w:marTop w:val="0"/>
      <w:marBottom w:val="0"/>
      <w:divBdr>
        <w:top w:val="none" w:sz="0" w:space="0" w:color="auto"/>
        <w:left w:val="none" w:sz="0" w:space="0" w:color="auto"/>
        <w:bottom w:val="none" w:sz="0" w:space="0" w:color="auto"/>
        <w:right w:val="none" w:sz="0" w:space="0" w:color="auto"/>
      </w:divBdr>
    </w:div>
    <w:div w:id="2069721140">
      <w:bodyDiv w:val="1"/>
      <w:marLeft w:val="0"/>
      <w:marRight w:val="0"/>
      <w:marTop w:val="0"/>
      <w:marBottom w:val="0"/>
      <w:divBdr>
        <w:top w:val="none" w:sz="0" w:space="0" w:color="auto"/>
        <w:left w:val="none" w:sz="0" w:space="0" w:color="auto"/>
        <w:bottom w:val="none" w:sz="0" w:space="0" w:color="auto"/>
        <w:right w:val="none" w:sz="0" w:space="0" w:color="auto"/>
      </w:divBdr>
    </w:div>
    <w:div w:id="2124381424">
      <w:bodyDiv w:val="1"/>
      <w:marLeft w:val="0"/>
      <w:marRight w:val="0"/>
      <w:marTop w:val="0"/>
      <w:marBottom w:val="0"/>
      <w:divBdr>
        <w:top w:val="none" w:sz="0" w:space="0" w:color="auto"/>
        <w:left w:val="none" w:sz="0" w:space="0" w:color="auto"/>
        <w:bottom w:val="none" w:sz="0" w:space="0" w:color="auto"/>
        <w:right w:val="none" w:sz="0" w:space="0" w:color="auto"/>
      </w:divBdr>
    </w:div>
    <w:div w:id="212896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hyperlink" Target="mailto:westbus@ymail.com"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yperlink" Target="mailto:cheryl.robbins@DowneastCommunityPartners.org" TargetMode="External"/><Relationship Id="rId42" Type="http://schemas.openxmlformats.org/officeDocument/2006/relationships/hyperlink" Target="mailto:rick.dubois@maine.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yperlink" Target="mailto:mpeabody@CityofBath.com" TargetMode="External"/><Relationship Id="rId38" Type="http://schemas.openxmlformats.org/officeDocument/2006/relationships/hyperlink" Target="mailto:MHallundbaek@MidCoastConnector.org"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yperlink" Target="mailto:gw.col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hyperlink" Target="mailto:executivedirector@artsme.org" TargetMode="External"/><Relationship Id="rId37" Type="http://schemas.openxmlformats.org/officeDocument/2006/relationships/hyperlink" Target="mailto:jackd@rtprides.org" TargetMode="External"/><Relationship Id="rId40" Type="http://schemas.openxmlformats.org/officeDocument/2006/relationships/hyperlink" Target="mailto:SBuchanan@westernmainetrans.org"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hyperlink" Target="mailto:suzannew@kvcap.org" TargetMode="Externa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4.xml"/><Relationship Id="rId35" Type="http://schemas.openxmlformats.org/officeDocument/2006/relationships/hyperlink" Target="mailto:pjordan@exploreacadia.com" TargetMode="External"/><Relationship Id="rId43" Type="http://schemas.openxmlformats.org/officeDocument/2006/relationships/fontTable" Target="fontTable.xml"/></Relationships>
</file>

<file path=word/theme/theme1.xml><?xml version="1.0" encoding="utf-8"?>
<a:theme xmlns:a="http://schemas.openxmlformats.org/drawingml/2006/main" name="RL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RLS" id="{6C07D3F4-0114-044A-B765-151640C6C005}" vid="{9D153978-06BA-C041-861A-811F67948D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D7FF-7E8E-493B-8CFD-EE7ECAA1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8017</Words>
  <Characters>45697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Edmondson</dc:creator>
  <cp:keywords/>
  <dc:description/>
  <cp:lastModifiedBy>Arata, Kelly</cp:lastModifiedBy>
  <cp:revision>3</cp:revision>
  <cp:lastPrinted>2022-08-15T19:29:00Z</cp:lastPrinted>
  <dcterms:created xsi:type="dcterms:W3CDTF">2022-09-08T19:09:00Z</dcterms:created>
  <dcterms:modified xsi:type="dcterms:W3CDTF">2022-09-08T19:14:00Z</dcterms:modified>
</cp:coreProperties>
</file>